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B289" w14:textId="77777777" w:rsidR="00E624CE" w:rsidRDefault="00E624CE"/>
    <w:p w14:paraId="1F4551B2" w14:textId="77777777" w:rsidR="00601585" w:rsidRDefault="00601585" w:rsidP="007D2A99">
      <w:pPr>
        <w:jc w:val="center"/>
        <w:rPr>
          <w:rFonts w:ascii="Arial" w:hAnsi="Arial" w:cs="Arial"/>
          <w:u w:val="single"/>
        </w:rPr>
      </w:pPr>
    </w:p>
    <w:p w14:paraId="5E3D0143" w14:textId="349DA811" w:rsidR="00EB4996" w:rsidRPr="00601585" w:rsidRDefault="00386168" w:rsidP="007D2A99">
      <w:pPr>
        <w:jc w:val="center"/>
        <w:rPr>
          <w:rFonts w:ascii="Arial" w:hAnsi="Arial" w:cs="Arial"/>
          <w:b/>
          <w:bCs/>
          <w:u w:val="single"/>
        </w:rPr>
      </w:pPr>
      <w:r w:rsidRPr="00601585">
        <w:rPr>
          <w:rFonts w:ascii="Arial" w:hAnsi="Arial" w:cs="Arial"/>
          <w:b/>
          <w:bCs/>
          <w:u w:val="single"/>
        </w:rPr>
        <w:t>Budget information and strategy document 2017 - 2019</w:t>
      </w:r>
    </w:p>
    <w:p w14:paraId="65665A0E" w14:textId="77777777" w:rsidR="00EB4996" w:rsidRDefault="00EB4996"/>
    <w:p w14:paraId="2299A873" w14:textId="77777777" w:rsidR="003F5A7C" w:rsidRDefault="003F5A7C">
      <w:pPr>
        <w:rPr>
          <w:rFonts w:ascii="Arial" w:hAnsi="Arial" w:cs="Arial"/>
        </w:rPr>
      </w:pPr>
    </w:p>
    <w:p w14:paraId="6F5A1EBD" w14:textId="16105EB5" w:rsidR="007D2A99" w:rsidRDefault="007D2A99" w:rsidP="007D2A99">
      <w:pPr>
        <w:pStyle w:val="ListParagraph"/>
        <w:numPr>
          <w:ilvl w:val="0"/>
          <w:numId w:val="1"/>
        </w:numPr>
        <w:ind w:left="0" w:hanging="567"/>
        <w:rPr>
          <w:rFonts w:ascii="Arial" w:hAnsi="Arial" w:cs="Arial"/>
        </w:rPr>
      </w:pPr>
      <w:r w:rsidRPr="00BD4A3B">
        <w:rPr>
          <w:rFonts w:ascii="Arial" w:hAnsi="Arial" w:cs="Arial"/>
          <w:u w:val="single"/>
        </w:rPr>
        <w:t>Request:</w:t>
      </w:r>
      <w:r w:rsidR="00BD4A3B" w:rsidRPr="00BD4A3B">
        <w:rPr>
          <w:rFonts w:ascii="Arial" w:hAnsi="Arial" w:cs="Arial"/>
        </w:rPr>
        <w:t xml:space="preserve"> </w:t>
      </w:r>
    </w:p>
    <w:p w14:paraId="0D0E13E8" w14:textId="77777777" w:rsidR="00BD4A3B" w:rsidRPr="00BD4A3B" w:rsidRDefault="00BD4A3B" w:rsidP="00BD4A3B">
      <w:pPr>
        <w:pStyle w:val="ListParagraph"/>
        <w:ind w:left="0"/>
        <w:rPr>
          <w:rFonts w:ascii="Arial" w:hAnsi="Arial" w:cs="Arial"/>
        </w:rPr>
      </w:pPr>
    </w:p>
    <w:p w14:paraId="6F5A3E54" w14:textId="787ED645" w:rsidR="007D2A99" w:rsidRPr="007D2A99" w:rsidRDefault="007D2A99" w:rsidP="007D2A99">
      <w:pPr>
        <w:rPr>
          <w:rFonts w:ascii="Arial" w:hAnsi="Arial" w:cs="Arial"/>
        </w:rPr>
      </w:pPr>
      <w:r w:rsidRPr="007D2A99">
        <w:rPr>
          <w:rFonts w:ascii="Arial" w:hAnsi="Arial" w:cs="Arial"/>
        </w:rPr>
        <w:t xml:space="preserve">Further to the UK the Freedom of Information Act 2000, </w:t>
      </w:r>
      <w:r w:rsidR="00BD4A3B">
        <w:rPr>
          <w:rFonts w:ascii="Arial" w:hAnsi="Arial" w:cs="Arial"/>
        </w:rPr>
        <w:t xml:space="preserve">could </w:t>
      </w:r>
      <w:r w:rsidRPr="007D2A99">
        <w:rPr>
          <w:rFonts w:ascii="Arial" w:hAnsi="Arial" w:cs="Arial"/>
        </w:rPr>
        <w:t>you please provide the following information:</w:t>
      </w:r>
    </w:p>
    <w:p w14:paraId="74161E83" w14:textId="77777777" w:rsidR="007D2A99" w:rsidRPr="007D2A99" w:rsidRDefault="007D2A99" w:rsidP="007D2A99">
      <w:pPr>
        <w:rPr>
          <w:rFonts w:ascii="Arial" w:hAnsi="Arial" w:cs="Arial"/>
        </w:rPr>
      </w:pPr>
      <w:r w:rsidRPr="007D2A99">
        <w:rPr>
          <w:rFonts w:ascii="Arial" w:hAnsi="Arial" w:cs="Arial"/>
        </w:rPr>
        <w:t xml:space="preserve"> </w:t>
      </w:r>
    </w:p>
    <w:p w14:paraId="0F9D8D7D" w14:textId="141C29C6" w:rsidR="007D2A99" w:rsidRPr="007D2A99" w:rsidRDefault="00601585" w:rsidP="00601585">
      <w:pPr>
        <w:ind w:hanging="567"/>
        <w:rPr>
          <w:rFonts w:ascii="Arial" w:hAnsi="Arial" w:cs="Arial"/>
        </w:rPr>
      </w:pPr>
      <w:r>
        <w:rPr>
          <w:rFonts w:ascii="Arial" w:hAnsi="Arial" w:cs="Arial"/>
        </w:rPr>
        <w:t>1.1</w:t>
      </w:r>
      <w:r w:rsidR="007D2A99" w:rsidRPr="007D2A99">
        <w:rPr>
          <w:rFonts w:ascii="Arial" w:hAnsi="Arial" w:cs="Arial"/>
        </w:rPr>
        <w:t xml:space="preserve"> </w:t>
      </w:r>
      <w:r>
        <w:rPr>
          <w:rFonts w:ascii="Arial" w:hAnsi="Arial" w:cs="Arial"/>
        </w:rPr>
        <w:tab/>
      </w:r>
      <w:r w:rsidR="007D2A99" w:rsidRPr="007D2A99">
        <w:rPr>
          <w:rFonts w:ascii="Arial" w:hAnsi="Arial" w:cs="Arial"/>
        </w:rPr>
        <w:t>Budgets/funding or any other resources directly allocated by the Authority towards anti-trafficking activities and/or activities to combat ‘modern slavery' in 2017/18 and 2018/19 financial years (i.e. dedicated projects, anti-trafficking operations, members of staff, information campaigns etc.) and what these activities are.</w:t>
      </w:r>
    </w:p>
    <w:p w14:paraId="2A49BEAA" w14:textId="25F10721" w:rsidR="00EB4996" w:rsidRPr="007D2A99" w:rsidRDefault="00601585" w:rsidP="00601585">
      <w:pPr>
        <w:ind w:hanging="567"/>
        <w:rPr>
          <w:rFonts w:ascii="Arial" w:hAnsi="Arial" w:cs="Arial"/>
        </w:rPr>
      </w:pPr>
      <w:r>
        <w:rPr>
          <w:rFonts w:ascii="Arial" w:hAnsi="Arial" w:cs="Arial"/>
        </w:rPr>
        <w:t>1.2</w:t>
      </w:r>
      <w:r w:rsidR="007D2A99" w:rsidRPr="007D2A99">
        <w:rPr>
          <w:rFonts w:ascii="Arial" w:hAnsi="Arial" w:cs="Arial"/>
        </w:rPr>
        <w:t xml:space="preserve"> </w:t>
      </w:r>
      <w:r>
        <w:rPr>
          <w:rFonts w:ascii="Arial" w:hAnsi="Arial" w:cs="Arial"/>
        </w:rPr>
        <w:tab/>
      </w:r>
      <w:r w:rsidR="007D2A99" w:rsidRPr="007D2A99">
        <w:rPr>
          <w:rFonts w:ascii="Arial" w:hAnsi="Arial" w:cs="Arial"/>
        </w:rPr>
        <w:t>If available, a copy of the organisational strategy or any other document which sets out what actions are to be taken by the Authority to combat trafficking in human beings and/or ‘modern slavery’ as mandated by the UK Modern Slavery Act (2015).</w:t>
      </w:r>
    </w:p>
    <w:p w14:paraId="6A2459D2" w14:textId="77777777" w:rsidR="00EB4996" w:rsidRDefault="00EB4996"/>
    <w:p w14:paraId="0F96B3DF" w14:textId="13BF8462" w:rsidR="00EB4996" w:rsidRPr="0007502D" w:rsidRDefault="007D2A99" w:rsidP="00E431AF">
      <w:pPr>
        <w:pStyle w:val="ListParagraph"/>
        <w:numPr>
          <w:ilvl w:val="0"/>
          <w:numId w:val="1"/>
        </w:numPr>
        <w:ind w:left="0" w:hanging="567"/>
        <w:rPr>
          <w:rFonts w:ascii="Arial" w:hAnsi="Arial" w:cs="Arial"/>
        </w:rPr>
      </w:pPr>
      <w:r w:rsidRPr="0007502D">
        <w:rPr>
          <w:rFonts w:ascii="Arial" w:hAnsi="Arial" w:cs="Arial"/>
          <w:u w:val="single"/>
        </w:rPr>
        <w:t>Response</w:t>
      </w:r>
      <w:r w:rsidRPr="0007502D">
        <w:rPr>
          <w:rFonts w:ascii="Arial" w:hAnsi="Arial" w:cs="Arial"/>
        </w:rPr>
        <w:t>:</w:t>
      </w:r>
    </w:p>
    <w:p w14:paraId="237F18AD" w14:textId="77777777" w:rsidR="009930EA" w:rsidRDefault="009930EA" w:rsidP="00EB4996">
      <w:pPr>
        <w:rPr>
          <w:rFonts w:ascii="Arial" w:hAnsi="Arial" w:cs="Arial"/>
        </w:rPr>
      </w:pPr>
    </w:p>
    <w:p w14:paraId="6B000C5E" w14:textId="76826845" w:rsidR="00154378" w:rsidRDefault="00E431AF" w:rsidP="00E431AF">
      <w:pPr>
        <w:ind w:hanging="567"/>
        <w:rPr>
          <w:rFonts w:ascii="Arial" w:hAnsi="Arial" w:cs="Arial"/>
        </w:rPr>
      </w:pPr>
      <w:r>
        <w:rPr>
          <w:rFonts w:ascii="Arial" w:hAnsi="Arial" w:cs="Arial"/>
        </w:rPr>
        <w:t>2.1</w:t>
      </w:r>
      <w:r>
        <w:rPr>
          <w:rFonts w:ascii="Arial" w:hAnsi="Arial" w:cs="Arial"/>
        </w:rPr>
        <w:tab/>
      </w:r>
      <w:r w:rsidR="00154378">
        <w:rPr>
          <w:rFonts w:ascii="Arial" w:hAnsi="Arial" w:cs="Arial"/>
        </w:rPr>
        <w:t xml:space="preserve">For ease of comparison, I have put the reported spend </w:t>
      </w:r>
      <w:r w:rsidR="009A638C" w:rsidRPr="009A638C">
        <w:rPr>
          <w:rFonts w:ascii="Arial" w:hAnsi="Arial" w:cs="Arial"/>
        </w:rPr>
        <w:t xml:space="preserve">by the Independent Anti-Slavery Commission (IASC) </w:t>
      </w:r>
      <w:r w:rsidR="00154378">
        <w:rPr>
          <w:rFonts w:ascii="Arial" w:hAnsi="Arial" w:cs="Arial"/>
        </w:rPr>
        <w:t>between 2017 – 2019 into two tables at Annex A. The data held by the IASC does not cover the total period requested and you may wish to approach the Home Office with a further information request for the full period. I have included below a li</w:t>
      </w:r>
      <w:r w:rsidR="009A638C">
        <w:rPr>
          <w:rFonts w:ascii="Arial" w:hAnsi="Arial" w:cs="Arial"/>
        </w:rPr>
        <w:t>n</w:t>
      </w:r>
      <w:r w:rsidR="00154378">
        <w:rPr>
          <w:rFonts w:ascii="Arial" w:hAnsi="Arial" w:cs="Arial"/>
        </w:rPr>
        <w:t xml:space="preserve">k </w:t>
      </w:r>
      <w:r w:rsidR="009A638C">
        <w:rPr>
          <w:rFonts w:ascii="Arial" w:hAnsi="Arial" w:cs="Arial"/>
        </w:rPr>
        <w:t>to the IASC Annual report 2016/17 that includes at page 41 the budget information from which the table at Annex A was populated. You will note that the reporting period is October 1, 2016 through to 30, September 2017. There was no Independent Anti-Slavery Commissioner in post between May 2018 and May 2019 and no annual report was published. The data to populate the second table at Annex A (IASC spend 1 April 201</w:t>
      </w:r>
      <w:r w:rsidR="001B7C2E">
        <w:rPr>
          <w:rFonts w:ascii="Arial" w:hAnsi="Arial" w:cs="Arial"/>
        </w:rPr>
        <w:t>8</w:t>
      </w:r>
      <w:r w:rsidR="009A638C">
        <w:rPr>
          <w:rFonts w:ascii="Arial" w:hAnsi="Arial" w:cs="Arial"/>
        </w:rPr>
        <w:t xml:space="preserve"> through to 31 March 2019) was taken from information provided to the incoming Commissioner Dame Sara Thornton. </w:t>
      </w:r>
      <w:r w:rsidR="009930EA">
        <w:rPr>
          <w:rFonts w:ascii="Arial" w:hAnsi="Arial" w:cs="Arial"/>
        </w:rPr>
        <w:t>It has not been publicly reported and</w:t>
      </w:r>
      <w:r w:rsidR="0092132A">
        <w:rPr>
          <w:rFonts w:ascii="Arial" w:hAnsi="Arial" w:cs="Arial"/>
        </w:rPr>
        <w:t xml:space="preserve"> </w:t>
      </w:r>
      <w:r w:rsidR="001D4833">
        <w:rPr>
          <w:rFonts w:ascii="Arial" w:hAnsi="Arial" w:cs="Arial"/>
        </w:rPr>
        <w:t xml:space="preserve">later </w:t>
      </w:r>
      <w:r w:rsidR="0092132A">
        <w:rPr>
          <w:rFonts w:ascii="Arial" w:hAnsi="Arial" w:cs="Arial"/>
        </w:rPr>
        <w:t xml:space="preserve">testing of the detail behind the numbers </w:t>
      </w:r>
      <w:r w:rsidR="00657035">
        <w:rPr>
          <w:rFonts w:ascii="Arial" w:hAnsi="Arial" w:cs="Arial"/>
        </w:rPr>
        <w:t xml:space="preserve">failed to </w:t>
      </w:r>
      <w:r w:rsidR="0092132A">
        <w:rPr>
          <w:rFonts w:ascii="Arial" w:hAnsi="Arial" w:cs="Arial"/>
        </w:rPr>
        <w:t xml:space="preserve">verify </w:t>
      </w:r>
      <w:r w:rsidR="001D4833">
        <w:rPr>
          <w:rFonts w:ascii="Arial" w:hAnsi="Arial" w:cs="Arial"/>
        </w:rPr>
        <w:t>it</w:t>
      </w:r>
      <w:r w:rsidR="00657035">
        <w:rPr>
          <w:rFonts w:ascii="Arial" w:hAnsi="Arial" w:cs="Arial"/>
        </w:rPr>
        <w:t xml:space="preserve"> as wholly </w:t>
      </w:r>
      <w:r w:rsidR="001D4833">
        <w:rPr>
          <w:rFonts w:ascii="Arial" w:hAnsi="Arial" w:cs="Arial"/>
        </w:rPr>
        <w:t>accura</w:t>
      </w:r>
      <w:r w:rsidR="00657035">
        <w:rPr>
          <w:rFonts w:ascii="Arial" w:hAnsi="Arial" w:cs="Arial"/>
        </w:rPr>
        <w:t>te</w:t>
      </w:r>
      <w:r w:rsidR="001D4833">
        <w:rPr>
          <w:rFonts w:ascii="Arial" w:hAnsi="Arial" w:cs="Arial"/>
        </w:rPr>
        <w:t xml:space="preserve">. </w:t>
      </w:r>
      <w:r w:rsidR="009930EA">
        <w:rPr>
          <w:rFonts w:ascii="Arial" w:hAnsi="Arial" w:cs="Arial"/>
        </w:rPr>
        <w:t xml:space="preserve">The spend information held by the IASC for both periods does not provide detail other than that included in the tables at Annex A although reference to the annual report for 2016/17 and the strategic plan for 2019/21 provides a good indication of how the funding </w:t>
      </w:r>
      <w:r w:rsidR="003F5A7C">
        <w:rPr>
          <w:rFonts w:ascii="Arial" w:hAnsi="Arial" w:cs="Arial"/>
        </w:rPr>
        <w:t>was</w:t>
      </w:r>
      <w:r w:rsidR="009930EA">
        <w:rPr>
          <w:rFonts w:ascii="Arial" w:hAnsi="Arial" w:cs="Arial"/>
        </w:rPr>
        <w:t xml:space="preserve"> used.</w:t>
      </w:r>
      <w:r w:rsidR="003F5A7C">
        <w:rPr>
          <w:rFonts w:ascii="Arial" w:hAnsi="Arial" w:cs="Arial"/>
        </w:rPr>
        <w:t xml:space="preserve"> </w:t>
      </w:r>
      <w:r w:rsidR="001B7C2E">
        <w:rPr>
          <w:rFonts w:ascii="Arial" w:hAnsi="Arial" w:cs="Arial"/>
        </w:rPr>
        <w:t xml:space="preserve">The </w:t>
      </w:r>
      <w:r w:rsidR="003F5A7C">
        <w:rPr>
          <w:rFonts w:ascii="Arial" w:hAnsi="Arial" w:cs="Arial"/>
        </w:rPr>
        <w:t xml:space="preserve">IASC does not hold </w:t>
      </w:r>
      <w:r w:rsidR="001B7C2E">
        <w:rPr>
          <w:rFonts w:ascii="Arial" w:hAnsi="Arial" w:cs="Arial"/>
        </w:rPr>
        <w:t xml:space="preserve">financial spend </w:t>
      </w:r>
      <w:r w:rsidR="003F5A7C">
        <w:rPr>
          <w:rFonts w:ascii="Arial" w:hAnsi="Arial" w:cs="Arial"/>
        </w:rPr>
        <w:t xml:space="preserve">data </w:t>
      </w:r>
      <w:r w:rsidR="001B7C2E">
        <w:rPr>
          <w:rFonts w:ascii="Arial" w:hAnsi="Arial" w:cs="Arial"/>
        </w:rPr>
        <w:t>for the period 1 October 2017 through to 31 March 2018.</w:t>
      </w:r>
    </w:p>
    <w:p w14:paraId="7BE758A6" w14:textId="77777777" w:rsidR="00154378" w:rsidRDefault="00154378" w:rsidP="00154378">
      <w:pPr>
        <w:jc w:val="both"/>
        <w:rPr>
          <w:rFonts w:ascii="Arial" w:hAnsi="Arial" w:cs="Arial"/>
        </w:rPr>
      </w:pPr>
    </w:p>
    <w:p w14:paraId="7540C4B9" w14:textId="77777777" w:rsidR="00AE49BD" w:rsidRDefault="00A43F59" w:rsidP="00EB4996">
      <w:pPr>
        <w:jc w:val="both"/>
        <w:rPr>
          <w:rFonts w:ascii="Arial" w:hAnsi="Arial" w:cs="Arial"/>
        </w:rPr>
      </w:pPr>
      <w:hyperlink r:id="rId7" w:history="1">
        <w:r w:rsidR="001518BE" w:rsidRPr="001518BE">
          <w:rPr>
            <w:rStyle w:val="Hyperlink"/>
            <w:rFonts w:ascii="Arial" w:hAnsi="Arial" w:cs="Arial"/>
          </w:rPr>
          <w:t>IASC Annual Report 2016/17</w:t>
        </w:r>
      </w:hyperlink>
    </w:p>
    <w:p w14:paraId="50C7E71D" w14:textId="77777777" w:rsidR="00AE49BD" w:rsidRDefault="00AE49BD" w:rsidP="00EB4996">
      <w:pPr>
        <w:jc w:val="both"/>
        <w:rPr>
          <w:rFonts w:ascii="Arial" w:hAnsi="Arial" w:cs="Arial"/>
        </w:rPr>
      </w:pPr>
    </w:p>
    <w:p w14:paraId="6C5F65F6" w14:textId="75B4A24F" w:rsidR="00386168" w:rsidRPr="00E431AF" w:rsidRDefault="009930EA" w:rsidP="00E431AF">
      <w:pPr>
        <w:pStyle w:val="ListParagraph"/>
        <w:numPr>
          <w:ilvl w:val="1"/>
          <w:numId w:val="1"/>
        </w:numPr>
        <w:ind w:left="0" w:hanging="567"/>
        <w:jc w:val="both"/>
        <w:rPr>
          <w:rFonts w:ascii="Arial" w:hAnsi="Arial" w:cs="Arial"/>
        </w:rPr>
      </w:pPr>
      <w:r w:rsidRPr="00E431AF">
        <w:rPr>
          <w:rFonts w:ascii="Arial" w:hAnsi="Arial" w:cs="Arial"/>
        </w:rPr>
        <w:t xml:space="preserve">I have attached a link below to the IASC Strategic Plan </w:t>
      </w:r>
      <w:r w:rsidR="003F5A7C" w:rsidRPr="00E431AF">
        <w:rPr>
          <w:rFonts w:ascii="Arial" w:hAnsi="Arial" w:cs="Arial"/>
        </w:rPr>
        <w:t xml:space="preserve">2019-2021.  The plan includes the Commissioner’s </w:t>
      </w:r>
      <w:r w:rsidRPr="00E431AF">
        <w:rPr>
          <w:rFonts w:ascii="Arial" w:hAnsi="Arial" w:cs="Arial"/>
        </w:rPr>
        <w:t xml:space="preserve">strategy </w:t>
      </w:r>
      <w:r w:rsidR="003F5A7C" w:rsidRPr="00E431AF">
        <w:rPr>
          <w:rFonts w:ascii="Arial" w:hAnsi="Arial" w:cs="Arial"/>
        </w:rPr>
        <w:t>and</w:t>
      </w:r>
      <w:r w:rsidRPr="00E431AF">
        <w:rPr>
          <w:rFonts w:ascii="Arial" w:hAnsi="Arial" w:cs="Arial"/>
        </w:rPr>
        <w:t xml:space="preserve"> sets out </w:t>
      </w:r>
      <w:r w:rsidR="003F5A7C" w:rsidRPr="00E431AF">
        <w:rPr>
          <w:rFonts w:ascii="Arial" w:hAnsi="Arial" w:cs="Arial"/>
        </w:rPr>
        <w:t>the</w:t>
      </w:r>
      <w:r w:rsidRPr="00E431AF">
        <w:rPr>
          <w:rFonts w:ascii="Arial" w:hAnsi="Arial" w:cs="Arial"/>
        </w:rPr>
        <w:t xml:space="preserve"> actions </w:t>
      </w:r>
      <w:r w:rsidR="003F5A7C" w:rsidRPr="00E431AF">
        <w:rPr>
          <w:rFonts w:ascii="Arial" w:hAnsi="Arial" w:cs="Arial"/>
        </w:rPr>
        <w:t xml:space="preserve">being </w:t>
      </w:r>
      <w:r w:rsidRPr="00E431AF">
        <w:rPr>
          <w:rFonts w:ascii="Arial" w:hAnsi="Arial" w:cs="Arial"/>
        </w:rPr>
        <w:t xml:space="preserve">taken to </w:t>
      </w:r>
    </w:p>
    <w:p w14:paraId="3FD6479F" w14:textId="77777777" w:rsidR="00386168" w:rsidRDefault="00386168" w:rsidP="00EB4996">
      <w:pPr>
        <w:jc w:val="both"/>
        <w:rPr>
          <w:rFonts w:ascii="Arial" w:hAnsi="Arial" w:cs="Arial"/>
        </w:rPr>
      </w:pPr>
    </w:p>
    <w:p w14:paraId="31DC33FE" w14:textId="77777777" w:rsidR="00386168" w:rsidRDefault="00386168" w:rsidP="00EB4996">
      <w:pPr>
        <w:jc w:val="both"/>
        <w:rPr>
          <w:rFonts w:ascii="Arial" w:hAnsi="Arial" w:cs="Arial"/>
        </w:rPr>
      </w:pPr>
    </w:p>
    <w:p w14:paraId="4D61B387" w14:textId="77777777" w:rsidR="00386168" w:rsidRDefault="00386168" w:rsidP="00EB4996">
      <w:pPr>
        <w:jc w:val="both"/>
        <w:rPr>
          <w:rFonts w:ascii="Arial" w:hAnsi="Arial" w:cs="Arial"/>
        </w:rPr>
      </w:pPr>
    </w:p>
    <w:p w14:paraId="100A4985" w14:textId="77777777" w:rsidR="00E431AF" w:rsidRDefault="00E431AF" w:rsidP="00EB4996">
      <w:pPr>
        <w:jc w:val="both"/>
        <w:rPr>
          <w:rFonts w:ascii="Arial" w:hAnsi="Arial" w:cs="Arial"/>
        </w:rPr>
      </w:pPr>
    </w:p>
    <w:p w14:paraId="73405E4C" w14:textId="77777777" w:rsidR="00E431AF" w:rsidRDefault="00E431AF" w:rsidP="00EB4996">
      <w:pPr>
        <w:jc w:val="both"/>
        <w:rPr>
          <w:rFonts w:ascii="Arial" w:hAnsi="Arial" w:cs="Arial"/>
        </w:rPr>
      </w:pPr>
    </w:p>
    <w:p w14:paraId="34C6D809" w14:textId="77777777" w:rsidR="00E431AF" w:rsidRDefault="00E431AF" w:rsidP="00EB4996">
      <w:pPr>
        <w:jc w:val="both"/>
        <w:rPr>
          <w:rFonts w:ascii="Arial" w:hAnsi="Arial" w:cs="Arial"/>
        </w:rPr>
      </w:pPr>
    </w:p>
    <w:p w14:paraId="0E55FF83" w14:textId="076E7D3A" w:rsidR="009930EA" w:rsidRDefault="009930EA" w:rsidP="00EB4996">
      <w:pPr>
        <w:jc w:val="both"/>
        <w:rPr>
          <w:rFonts w:ascii="Arial" w:hAnsi="Arial" w:cs="Arial"/>
        </w:rPr>
      </w:pPr>
      <w:r w:rsidRPr="009930EA">
        <w:rPr>
          <w:rFonts w:ascii="Arial" w:hAnsi="Arial" w:cs="Arial"/>
        </w:rPr>
        <w:t xml:space="preserve">combat </w:t>
      </w:r>
      <w:r w:rsidR="003F5A7C">
        <w:rPr>
          <w:rFonts w:ascii="Arial" w:hAnsi="Arial" w:cs="Arial"/>
        </w:rPr>
        <w:t xml:space="preserve">human </w:t>
      </w:r>
      <w:r w:rsidRPr="009930EA">
        <w:rPr>
          <w:rFonts w:ascii="Arial" w:hAnsi="Arial" w:cs="Arial"/>
        </w:rPr>
        <w:t>trafficking and/or ‘modern slavery’ as mandated by the UK Modern Slavery Act (2015).</w:t>
      </w:r>
    </w:p>
    <w:p w14:paraId="143805A1" w14:textId="77777777" w:rsidR="009930EA" w:rsidRDefault="009930EA" w:rsidP="00EB4996">
      <w:pPr>
        <w:jc w:val="both"/>
        <w:rPr>
          <w:rFonts w:ascii="Arial" w:hAnsi="Arial" w:cs="Arial"/>
        </w:rPr>
      </w:pPr>
    </w:p>
    <w:p w14:paraId="443CBE71" w14:textId="77777777" w:rsidR="00AE49BD" w:rsidRDefault="00A43F59" w:rsidP="00EB4996">
      <w:pPr>
        <w:jc w:val="both"/>
        <w:rPr>
          <w:rFonts w:ascii="Arial" w:hAnsi="Arial" w:cs="Arial"/>
        </w:rPr>
      </w:pPr>
      <w:hyperlink r:id="rId8" w:history="1">
        <w:r w:rsidR="00FE34C9" w:rsidRPr="00FE34C9">
          <w:rPr>
            <w:rStyle w:val="Hyperlink"/>
            <w:rFonts w:ascii="Arial" w:hAnsi="Arial" w:cs="Arial"/>
          </w:rPr>
          <w:t>IASC Strategic Plan 2019-2021</w:t>
        </w:r>
      </w:hyperlink>
    </w:p>
    <w:p w14:paraId="6962BD6E" w14:textId="77777777" w:rsidR="00AE49BD" w:rsidRDefault="00AE49BD" w:rsidP="00EB4996">
      <w:pPr>
        <w:jc w:val="both"/>
        <w:rPr>
          <w:rFonts w:ascii="Arial" w:hAnsi="Arial" w:cs="Arial"/>
        </w:rPr>
      </w:pPr>
    </w:p>
    <w:p w14:paraId="792CF15D" w14:textId="77777777" w:rsidR="00EB4996" w:rsidRPr="00EB4996" w:rsidRDefault="00EB4996" w:rsidP="00EB4996">
      <w:pPr>
        <w:jc w:val="both"/>
        <w:rPr>
          <w:rFonts w:ascii="Arial" w:hAnsi="Arial" w:cs="Arial"/>
        </w:rPr>
      </w:pPr>
      <w:r w:rsidRPr="00EB4996">
        <w:rPr>
          <w:rFonts w:ascii="Arial" w:hAnsi="Arial" w:cs="Arial"/>
        </w:rPr>
        <w:t xml:space="preserve">If you are dissatisfied with this response you may request an independent internal review of our handling of your request by submitting a complaint within two months to iasc@iasc.independent.gov.uk  if you ask for an internal review, it would be helpful if you could say why you are dissatisfied with the response. </w:t>
      </w:r>
    </w:p>
    <w:p w14:paraId="4C3466CF" w14:textId="77777777" w:rsidR="00EB4996" w:rsidRPr="00EB4996" w:rsidRDefault="00EB4996" w:rsidP="00EB4996">
      <w:pPr>
        <w:jc w:val="both"/>
        <w:rPr>
          <w:rFonts w:ascii="Arial" w:hAnsi="Arial" w:cs="Arial"/>
        </w:rPr>
      </w:pPr>
    </w:p>
    <w:p w14:paraId="1158EDF1" w14:textId="77777777" w:rsidR="00EB4996" w:rsidRDefault="00EB4996" w:rsidP="00EB4996">
      <w:pPr>
        <w:jc w:val="both"/>
        <w:rPr>
          <w:rFonts w:ascii="Arial" w:hAnsi="Arial" w:cs="Arial"/>
        </w:rPr>
      </w:pPr>
      <w:r w:rsidRPr="00EB4996">
        <w:rPr>
          <w:rFonts w:ascii="Arial" w:hAnsi="Arial" w:cs="Arial"/>
        </w:rPr>
        <w:t>As part of any internal review the Department's handling of your information request would be reassessed by staff who were not involved in providing you with this response. If you were to remain dissatisfied after an internal review, you would have a right of complaint to the Information Commissioner as established by section 50 of the FOIA.</w:t>
      </w:r>
    </w:p>
    <w:p w14:paraId="1BACE8C1" w14:textId="77777777" w:rsidR="00050C12" w:rsidRDefault="00050C12" w:rsidP="00EB4996">
      <w:pPr>
        <w:jc w:val="both"/>
        <w:rPr>
          <w:rFonts w:ascii="Arial" w:hAnsi="Arial" w:cs="Arial"/>
        </w:rPr>
      </w:pPr>
    </w:p>
    <w:p w14:paraId="536A026A" w14:textId="77777777" w:rsidR="00050C12" w:rsidRDefault="00050C12" w:rsidP="00EB4996">
      <w:pPr>
        <w:jc w:val="both"/>
        <w:rPr>
          <w:rFonts w:ascii="Arial" w:hAnsi="Arial" w:cs="Arial"/>
        </w:rPr>
      </w:pPr>
    </w:p>
    <w:p w14:paraId="7716F249" w14:textId="77777777" w:rsidR="00050C12" w:rsidRDefault="00050C12" w:rsidP="00EB4996">
      <w:pPr>
        <w:jc w:val="both"/>
        <w:rPr>
          <w:rFonts w:ascii="Arial" w:hAnsi="Arial" w:cs="Arial"/>
        </w:rPr>
      </w:pPr>
      <w:r>
        <w:rPr>
          <w:rFonts w:ascii="Arial" w:hAnsi="Arial" w:cs="Arial"/>
        </w:rPr>
        <w:t>IASC</w:t>
      </w:r>
    </w:p>
    <w:p w14:paraId="4659E224" w14:textId="77777777" w:rsidR="00050C12" w:rsidRDefault="00050C12" w:rsidP="00EB4996">
      <w:pPr>
        <w:jc w:val="both"/>
        <w:rPr>
          <w:rFonts w:ascii="Arial" w:hAnsi="Arial" w:cs="Arial"/>
        </w:rPr>
      </w:pPr>
      <w:r>
        <w:rPr>
          <w:rFonts w:ascii="Arial" w:hAnsi="Arial" w:cs="Arial"/>
        </w:rPr>
        <w:t>14 August 2020</w:t>
      </w:r>
    </w:p>
    <w:p w14:paraId="0145503B" w14:textId="77777777" w:rsidR="00222DA5" w:rsidRDefault="00222DA5" w:rsidP="00EB4996">
      <w:pPr>
        <w:jc w:val="both"/>
        <w:rPr>
          <w:rFonts w:ascii="Arial" w:hAnsi="Arial" w:cs="Arial"/>
        </w:rPr>
      </w:pPr>
    </w:p>
    <w:p w14:paraId="5B23900B" w14:textId="77777777" w:rsidR="003F5A7C" w:rsidRDefault="003F5A7C" w:rsidP="00EB4996">
      <w:pPr>
        <w:jc w:val="both"/>
        <w:rPr>
          <w:rFonts w:ascii="Arial" w:hAnsi="Arial" w:cs="Arial"/>
        </w:rPr>
      </w:pPr>
    </w:p>
    <w:p w14:paraId="7E59E111" w14:textId="77777777" w:rsidR="003F5A7C" w:rsidRDefault="003F5A7C" w:rsidP="00EB4996">
      <w:pPr>
        <w:jc w:val="both"/>
        <w:rPr>
          <w:rFonts w:ascii="Arial" w:hAnsi="Arial" w:cs="Arial"/>
        </w:rPr>
      </w:pPr>
    </w:p>
    <w:p w14:paraId="591C4422" w14:textId="77777777" w:rsidR="003F5A7C" w:rsidRDefault="003F5A7C" w:rsidP="00EB4996">
      <w:pPr>
        <w:jc w:val="both"/>
        <w:rPr>
          <w:rFonts w:ascii="Arial" w:hAnsi="Arial" w:cs="Arial"/>
        </w:rPr>
      </w:pPr>
    </w:p>
    <w:p w14:paraId="2C6EA90A" w14:textId="77777777" w:rsidR="003F5A7C" w:rsidRDefault="003F5A7C" w:rsidP="00EB4996">
      <w:pPr>
        <w:jc w:val="both"/>
        <w:rPr>
          <w:rFonts w:ascii="Arial" w:hAnsi="Arial" w:cs="Arial"/>
        </w:rPr>
      </w:pPr>
    </w:p>
    <w:p w14:paraId="2C57B28F" w14:textId="77777777" w:rsidR="003F5A7C" w:rsidRDefault="003F5A7C" w:rsidP="00EB4996">
      <w:pPr>
        <w:jc w:val="both"/>
        <w:rPr>
          <w:rFonts w:ascii="Arial" w:hAnsi="Arial" w:cs="Arial"/>
        </w:rPr>
      </w:pPr>
    </w:p>
    <w:p w14:paraId="3B69EE31" w14:textId="77777777" w:rsidR="003F5A7C" w:rsidRDefault="003F5A7C" w:rsidP="00EB4996">
      <w:pPr>
        <w:jc w:val="both"/>
        <w:rPr>
          <w:rFonts w:ascii="Arial" w:hAnsi="Arial" w:cs="Arial"/>
        </w:rPr>
      </w:pPr>
    </w:p>
    <w:p w14:paraId="69E3AA43" w14:textId="77777777" w:rsidR="003F5A7C" w:rsidRDefault="003F5A7C" w:rsidP="00EB4996">
      <w:pPr>
        <w:jc w:val="both"/>
        <w:rPr>
          <w:rFonts w:ascii="Arial" w:hAnsi="Arial" w:cs="Arial"/>
        </w:rPr>
      </w:pPr>
    </w:p>
    <w:p w14:paraId="5E07ABB9" w14:textId="77777777" w:rsidR="003F5A7C" w:rsidRDefault="003F5A7C" w:rsidP="00EB4996">
      <w:pPr>
        <w:jc w:val="both"/>
        <w:rPr>
          <w:rFonts w:ascii="Arial" w:hAnsi="Arial" w:cs="Arial"/>
        </w:rPr>
      </w:pPr>
    </w:p>
    <w:p w14:paraId="6753BAD0" w14:textId="77777777" w:rsidR="003F5A7C" w:rsidRDefault="003F5A7C" w:rsidP="00EB4996">
      <w:pPr>
        <w:jc w:val="both"/>
        <w:rPr>
          <w:rFonts w:ascii="Arial" w:hAnsi="Arial" w:cs="Arial"/>
        </w:rPr>
      </w:pPr>
    </w:p>
    <w:p w14:paraId="123298E7" w14:textId="77777777" w:rsidR="003F5A7C" w:rsidRDefault="003F5A7C" w:rsidP="00EB4996">
      <w:pPr>
        <w:jc w:val="both"/>
        <w:rPr>
          <w:rFonts w:ascii="Arial" w:hAnsi="Arial" w:cs="Arial"/>
        </w:rPr>
      </w:pPr>
    </w:p>
    <w:p w14:paraId="3A209981" w14:textId="77777777" w:rsidR="003F5A7C" w:rsidRDefault="003F5A7C" w:rsidP="00EB4996">
      <w:pPr>
        <w:jc w:val="both"/>
        <w:rPr>
          <w:rFonts w:ascii="Arial" w:hAnsi="Arial" w:cs="Arial"/>
        </w:rPr>
      </w:pPr>
    </w:p>
    <w:p w14:paraId="0FADBD90" w14:textId="77777777" w:rsidR="003F5A7C" w:rsidRDefault="003F5A7C" w:rsidP="00EB4996">
      <w:pPr>
        <w:jc w:val="both"/>
        <w:rPr>
          <w:rFonts w:ascii="Arial" w:hAnsi="Arial" w:cs="Arial"/>
        </w:rPr>
      </w:pPr>
    </w:p>
    <w:p w14:paraId="174DECAC" w14:textId="77777777" w:rsidR="003F5A7C" w:rsidRDefault="003F5A7C" w:rsidP="00EB4996">
      <w:pPr>
        <w:jc w:val="both"/>
        <w:rPr>
          <w:rFonts w:ascii="Arial" w:hAnsi="Arial" w:cs="Arial"/>
        </w:rPr>
      </w:pPr>
    </w:p>
    <w:p w14:paraId="237D2E2B" w14:textId="77777777" w:rsidR="003F5A7C" w:rsidRDefault="003F5A7C" w:rsidP="00EB4996">
      <w:pPr>
        <w:jc w:val="both"/>
        <w:rPr>
          <w:rFonts w:ascii="Arial" w:hAnsi="Arial" w:cs="Arial"/>
        </w:rPr>
      </w:pPr>
    </w:p>
    <w:p w14:paraId="1460FD7E" w14:textId="77777777" w:rsidR="003F5A7C" w:rsidRDefault="003F5A7C" w:rsidP="00EB4996">
      <w:pPr>
        <w:jc w:val="both"/>
        <w:rPr>
          <w:rFonts w:ascii="Arial" w:hAnsi="Arial" w:cs="Arial"/>
        </w:rPr>
      </w:pPr>
    </w:p>
    <w:p w14:paraId="67E98464" w14:textId="77777777" w:rsidR="003F5A7C" w:rsidRDefault="003F5A7C" w:rsidP="00EB4996">
      <w:pPr>
        <w:jc w:val="both"/>
        <w:rPr>
          <w:rFonts w:ascii="Arial" w:hAnsi="Arial" w:cs="Arial"/>
        </w:rPr>
      </w:pPr>
    </w:p>
    <w:p w14:paraId="0488E452" w14:textId="77777777" w:rsidR="00222DA5" w:rsidRDefault="00222DA5" w:rsidP="00EB4996">
      <w:pPr>
        <w:jc w:val="both"/>
        <w:rPr>
          <w:rFonts w:ascii="Arial" w:hAnsi="Arial" w:cs="Arial"/>
        </w:rPr>
      </w:pPr>
    </w:p>
    <w:p w14:paraId="12ABD829" w14:textId="77777777" w:rsidR="003F5A7C" w:rsidRDefault="003F5A7C" w:rsidP="00EB4996">
      <w:pPr>
        <w:jc w:val="both"/>
        <w:rPr>
          <w:rFonts w:ascii="Arial" w:hAnsi="Arial" w:cs="Arial"/>
        </w:rPr>
      </w:pPr>
    </w:p>
    <w:p w14:paraId="6590637A" w14:textId="77777777" w:rsidR="003F5A7C" w:rsidRDefault="003F5A7C" w:rsidP="00EB4996">
      <w:pPr>
        <w:jc w:val="both"/>
        <w:rPr>
          <w:rFonts w:ascii="Arial" w:hAnsi="Arial" w:cs="Arial"/>
        </w:rPr>
      </w:pPr>
    </w:p>
    <w:p w14:paraId="6F451D34" w14:textId="77777777" w:rsidR="003F5A7C" w:rsidRDefault="003F5A7C" w:rsidP="00EB4996">
      <w:pPr>
        <w:jc w:val="both"/>
        <w:rPr>
          <w:rFonts w:ascii="Arial" w:hAnsi="Arial" w:cs="Arial"/>
        </w:rPr>
      </w:pPr>
    </w:p>
    <w:p w14:paraId="51FB7CC3" w14:textId="77777777" w:rsidR="00386168" w:rsidRDefault="00386168" w:rsidP="003F5A7C">
      <w:pPr>
        <w:jc w:val="right"/>
        <w:rPr>
          <w:rFonts w:ascii="Arial" w:hAnsi="Arial" w:cs="Arial"/>
          <w:b/>
        </w:rPr>
      </w:pPr>
    </w:p>
    <w:p w14:paraId="4397BC58" w14:textId="77777777" w:rsidR="00386168" w:rsidRDefault="00386168" w:rsidP="003F5A7C">
      <w:pPr>
        <w:jc w:val="right"/>
        <w:rPr>
          <w:rFonts w:ascii="Arial" w:hAnsi="Arial" w:cs="Arial"/>
          <w:b/>
        </w:rPr>
      </w:pPr>
    </w:p>
    <w:p w14:paraId="29F779A0" w14:textId="77777777" w:rsidR="00386168" w:rsidRDefault="00386168" w:rsidP="003F5A7C">
      <w:pPr>
        <w:jc w:val="right"/>
        <w:rPr>
          <w:rFonts w:ascii="Arial" w:hAnsi="Arial" w:cs="Arial"/>
          <w:b/>
        </w:rPr>
      </w:pPr>
    </w:p>
    <w:p w14:paraId="5DACDBB8" w14:textId="77777777" w:rsidR="00386168" w:rsidRDefault="00386168" w:rsidP="003F5A7C">
      <w:pPr>
        <w:jc w:val="right"/>
        <w:rPr>
          <w:rFonts w:ascii="Arial" w:hAnsi="Arial" w:cs="Arial"/>
          <w:b/>
        </w:rPr>
      </w:pPr>
    </w:p>
    <w:p w14:paraId="0BAC3310" w14:textId="77777777" w:rsidR="00386168" w:rsidRDefault="00386168" w:rsidP="003F5A7C">
      <w:pPr>
        <w:jc w:val="right"/>
        <w:rPr>
          <w:rFonts w:ascii="Arial" w:hAnsi="Arial" w:cs="Arial"/>
          <w:b/>
        </w:rPr>
      </w:pPr>
    </w:p>
    <w:p w14:paraId="08ABCB76" w14:textId="77777777" w:rsidR="00386168" w:rsidRDefault="00386168" w:rsidP="003F5A7C">
      <w:pPr>
        <w:jc w:val="right"/>
        <w:rPr>
          <w:rFonts w:ascii="Arial" w:hAnsi="Arial" w:cs="Arial"/>
          <w:b/>
        </w:rPr>
      </w:pPr>
    </w:p>
    <w:p w14:paraId="0F65AAAC" w14:textId="77777777" w:rsidR="00386168" w:rsidRDefault="00386168" w:rsidP="003F5A7C">
      <w:pPr>
        <w:jc w:val="right"/>
        <w:rPr>
          <w:rFonts w:ascii="Arial" w:hAnsi="Arial" w:cs="Arial"/>
          <w:b/>
        </w:rPr>
      </w:pPr>
    </w:p>
    <w:p w14:paraId="29567F77" w14:textId="77777777" w:rsidR="00386168" w:rsidRDefault="00386168" w:rsidP="003F5A7C">
      <w:pPr>
        <w:jc w:val="right"/>
        <w:rPr>
          <w:rFonts w:ascii="Arial" w:hAnsi="Arial" w:cs="Arial"/>
          <w:b/>
        </w:rPr>
      </w:pPr>
    </w:p>
    <w:p w14:paraId="71A2347C" w14:textId="77777777" w:rsidR="00E431AF" w:rsidRDefault="00E431AF" w:rsidP="003F5A7C">
      <w:pPr>
        <w:jc w:val="right"/>
        <w:rPr>
          <w:rFonts w:ascii="Arial" w:hAnsi="Arial" w:cs="Arial"/>
          <w:b/>
        </w:rPr>
      </w:pPr>
    </w:p>
    <w:p w14:paraId="497E4495" w14:textId="4B5AB36D" w:rsidR="003F5A7C" w:rsidRPr="003F5A7C" w:rsidRDefault="003F5A7C" w:rsidP="003F5A7C">
      <w:pPr>
        <w:jc w:val="right"/>
        <w:rPr>
          <w:rFonts w:ascii="Arial" w:hAnsi="Arial" w:cs="Arial"/>
          <w:b/>
        </w:rPr>
      </w:pPr>
      <w:r w:rsidRPr="003F5A7C">
        <w:rPr>
          <w:rFonts w:ascii="Arial" w:hAnsi="Arial" w:cs="Arial"/>
          <w:b/>
        </w:rPr>
        <w:t>Annex A</w:t>
      </w:r>
    </w:p>
    <w:p w14:paraId="0C19E92A" w14:textId="77777777" w:rsidR="003F5A7C" w:rsidRDefault="003F5A7C" w:rsidP="000741E2">
      <w:pPr>
        <w:jc w:val="center"/>
        <w:rPr>
          <w:rFonts w:ascii="Arial" w:hAnsi="Arial" w:cs="Arial"/>
        </w:rPr>
      </w:pPr>
    </w:p>
    <w:p w14:paraId="5912AC59" w14:textId="77777777" w:rsidR="003F5A7C" w:rsidRDefault="003F5A7C" w:rsidP="000741E2">
      <w:pPr>
        <w:jc w:val="center"/>
        <w:rPr>
          <w:rFonts w:ascii="Arial" w:hAnsi="Arial" w:cs="Arial"/>
        </w:rPr>
      </w:pPr>
    </w:p>
    <w:p w14:paraId="3C6AC619" w14:textId="77777777" w:rsidR="003F5A7C" w:rsidRDefault="003F5A7C" w:rsidP="000741E2">
      <w:pPr>
        <w:jc w:val="center"/>
        <w:rPr>
          <w:rFonts w:ascii="Arial" w:hAnsi="Arial" w:cs="Arial"/>
        </w:rPr>
      </w:pPr>
    </w:p>
    <w:p w14:paraId="673E78E8" w14:textId="77777777" w:rsidR="000741E2" w:rsidRPr="00DB01AB" w:rsidRDefault="000741E2" w:rsidP="000741E2">
      <w:pPr>
        <w:jc w:val="center"/>
        <w:rPr>
          <w:rFonts w:ascii="Arial" w:hAnsi="Arial" w:cs="Arial"/>
          <w:u w:val="single"/>
        </w:rPr>
      </w:pPr>
      <w:r w:rsidRPr="00DB01AB">
        <w:rPr>
          <w:rFonts w:ascii="Arial" w:hAnsi="Arial" w:cs="Arial"/>
          <w:u w:val="single"/>
        </w:rPr>
        <w:t>Independent Anti-Slavery Commission</w:t>
      </w:r>
    </w:p>
    <w:p w14:paraId="62B15597" w14:textId="77777777" w:rsidR="000741E2" w:rsidRPr="00DB01AB" w:rsidRDefault="000741E2" w:rsidP="000741E2">
      <w:pPr>
        <w:jc w:val="center"/>
        <w:rPr>
          <w:rFonts w:ascii="Arial" w:hAnsi="Arial" w:cs="Arial"/>
          <w:u w:val="single"/>
        </w:rPr>
      </w:pPr>
      <w:r w:rsidRPr="00DB01AB">
        <w:rPr>
          <w:rFonts w:ascii="Arial" w:hAnsi="Arial" w:cs="Arial"/>
          <w:u w:val="single"/>
        </w:rPr>
        <w:t xml:space="preserve">2016/17 October to September </w:t>
      </w:r>
      <w:r w:rsidR="00154378" w:rsidRPr="00DB01AB">
        <w:rPr>
          <w:rFonts w:ascii="Arial" w:hAnsi="Arial" w:cs="Arial"/>
          <w:u w:val="single"/>
        </w:rPr>
        <w:t xml:space="preserve">reported </w:t>
      </w:r>
      <w:r w:rsidRPr="00DB01AB">
        <w:rPr>
          <w:rFonts w:ascii="Arial" w:hAnsi="Arial" w:cs="Arial"/>
          <w:u w:val="single"/>
        </w:rPr>
        <w:t>financial outturn</w:t>
      </w:r>
    </w:p>
    <w:p w14:paraId="482D5E9E" w14:textId="77777777" w:rsidR="000741E2" w:rsidRDefault="000741E2" w:rsidP="00EB4996">
      <w:pPr>
        <w:jc w:val="both"/>
        <w:rPr>
          <w:rFonts w:ascii="Arial" w:hAnsi="Arial" w:cs="Arial"/>
        </w:rPr>
      </w:pPr>
    </w:p>
    <w:p w14:paraId="0F93A84C" w14:textId="77777777" w:rsidR="008E3BCD" w:rsidRDefault="008E3BCD" w:rsidP="00EB4996">
      <w:pPr>
        <w:jc w:val="both"/>
        <w:rPr>
          <w:rFonts w:ascii="Arial" w:hAnsi="Arial" w:cs="Arial"/>
        </w:rPr>
      </w:pPr>
    </w:p>
    <w:tbl>
      <w:tblPr>
        <w:tblStyle w:val="TableGrid"/>
        <w:tblW w:w="0" w:type="auto"/>
        <w:tblInd w:w="1271" w:type="dxa"/>
        <w:tblLook w:val="04A0" w:firstRow="1" w:lastRow="0" w:firstColumn="1" w:lastColumn="0" w:noHBand="0" w:noVBand="1"/>
      </w:tblPr>
      <w:tblGrid>
        <w:gridCol w:w="2880"/>
        <w:gridCol w:w="2790"/>
      </w:tblGrid>
      <w:tr w:rsidR="000741E2" w14:paraId="4F019869" w14:textId="77777777" w:rsidTr="000741E2">
        <w:tc>
          <w:tcPr>
            <w:tcW w:w="2880" w:type="dxa"/>
          </w:tcPr>
          <w:p w14:paraId="2EAC175E" w14:textId="77777777" w:rsidR="000741E2" w:rsidRPr="000741E2" w:rsidRDefault="000741E2" w:rsidP="000741E2">
            <w:pPr>
              <w:rPr>
                <w:rFonts w:ascii="Arial" w:hAnsi="Arial" w:cs="Arial"/>
                <w:sz w:val="20"/>
              </w:rPr>
            </w:pPr>
            <w:r w:rsidRPr="000741E2">
              <w:rPr>
                <w:rFonts w:ascii="Arial" w:hAnsi="Arial" w:cs="Arial"/>
                <w:sz w:val="20"/>
              </w:rPr>
              <w:t>Pay costs</w:t>
            </w:r>
          </w:p>
        </w:tc>
        <w:tc>
          <w:tcPr>
            <w:tcW w:w="2790" w:type="dxa"/>
          </w:tcPr>
          <w:p w14:paraId="1B094DFD" w14:textId="77777777" w:rsidR="000741E2" w:rsidRPr="000741E2" w:rsidRDefault="000741E2" w:rsidP="000741E2">
            <w:pPr>
              <w:rPr>
                <w:rFonts w:ascii="Arial" w:hAnsi="Arial" w:cs="Arial"/>
                <w:sz w:val="20"/>
              </w:rPr>
            </w:pPr>
            <w:r w:rsidRPr="000741E2">
              <w:rPr>
                <w:rFonts w:ascii="Arial" w:hAnsi="Arial" w:cs="Arial"/>
                <w:sz w:val="20"/>
              </w:rPr>
              <w:t>486,829</w:t>
            </w:r>
          </w:p>
        </w:tc>
      </w:tr>
      <w:tr w:rsidR="000741E2" w14:paraId="0F57F903" w14:textId="77777777" w:rsidTr="000741E2">
        <w:tc>
          <w:tcPr>
            <w:tcW w:w="2880" w:type="dxa"/>
          </w:tcPr>
          <w:p w14:paraId="0B40C226" w14:textId="77777777" w:rsidR="000741E2" w:rsidRPr="000741E2" w:rsidRDefault="000741E2" w:rsidP="000741E2">
            <w:pPr>
              <w:rPr>
                <w:rFonts w:ascii="Arial" w:hAnsi="Arial" w:cs="Arial"/>
                <w:sz w:val="20"/>
              </w:rPr>
            </w:pPr>
            <w:r w:rsidRPr="000741E2">
              <w:rPr>
                <w:rFonts w:ascii="Arial" w:hAnsi="Arial" w:cs="Arial"/>
                <w:sz w:val="20"/>
              </w:rPr>
              <w:t>Travel</w:t>
            </w:r>
          </w:p>
        </w:tc>
        <w:tc>
          <w:tcPr>
            <w:tcW w:w="2790" w:type="dxa"/>
          </w:tcPr>
          <w:p w14:paraId="4E64E2A7" w14:textId="77777777" w:rsidR="000741E2" w:rsidRPr="000741E2" w:rsidRDefault="000741E2" w:rsidP="000741E2">
            <w:pPr>
              <w:rPr>
                <w:rFonts w:ascii="Arial" w:hAnsi="Arial" w:cs="Arial"/>
                <w:sz w:val="20"/>
              </w:rPr>
            </w:pPr>
            <w:r w:rsidRPr="000741E2">
              <w:rPr>
                <w:rFonts w:ascii="Arial" w:hAnsi="Arial" w:cs="Arial"/>
                <w:sz w:val="20"/>
              </w:rPr>
              <w:t>55,887</w:t>
            </w:r>
          </w:p>
        </w:tc>
      </w:tr>
      <w:tr w:rsidR="000741E2" w14:paraId="2DCA6C16" w14:textId="77777777" w:rsidTr="000741E2">
        <w:tc>
          <w:tcPr>
            <w:tcW w:w="2880" w:type="dxa"/>
          </w:tcPr>
          <w:p w14:paraId="3CF8A17C" w14:textId="77777777" w:rsidR="000741E2" w:rsidRPr="000741E2" w:rsidRDefault="000741E2" w:rsidP="000741E2">
            <w:pPr>
              <w:rPr>
                <w:rFonts w:ascii="Arial" w:hAnsi="Arial" w:cs="Arial"/>
                <w:sz w:val="20"/>
              </w:rPr>
            </w:pPr>
            <w:r w:rsidRPr="000741E2">
              <w:rPr>
                <w:rFonts w:ascii="Arial" w:hAnsi="Arial" w:cs="Arial"/>
                <w:sz w:val="20"/>
              </w:rPr>
              <w:t>IT &amp; Telecommunications</w:t>
            </w:r>
          </w:p>
        </w:tc>
        <w:tc>
          <w:tcPr>
            <w:tcW w:w="2790" w:type="dxa"/>
          </w:tcPr>
          <w:p w14:paraId="2957F122" w14:textId="77777777" w:rsidR="000741E2" w:rsidRPr="000741E2" w:rsidRDefault="000741E2" w:rsidP="000741E2">
            <w:pPr>
              <w:rPr>
                <w:rFonts w:ascii="Arial" w:hAnsi="Arial" w:cs="Arial"/>
                <w:sz w:val="20"/>
              </w:rPr>
            </w:pPr>
            <w:r w:rsidRPr="000741E2">
              <w:rPr>
                <w:rFonts w:ascii="Arial" w:hAnsi="Arial" w:cs="Arial"/>
                <w:sz w:val="20"/>
              </w:rPr>
              <w:t>19,039</w:t>
            </w:r>
          </w:p>
        </w:tc>
      </w:tr>
      <w:tr w:rsidR="000741E2" w14:paraId="46DF1BDA" w14:textId="77777777" w:rsidTr="000741E2">
        <w:tc>
          <w:tcPr>
            <w:tcW w:w="2880" w:type="dxa"/>
          </w:tcPr>
          <w:p w14:paraId="49A14D73" w14:textId="77777777" w:rsidR="000741E2" w:rsidRPr="000741E2" w:rsidRDefault="000741E2" w:rsidP="000741E2">
            <w:pPr>
              <w:rPr>
                <w:rFonts w:ascii="Arial" w:hAnsi="Arial" w:cs="Arial"/>
                <w:sz w:val="20"/>
              </w:rPr>
            </w:pPr>
            <w:r w:rsidRPr="000741E2">
              <w:rPr>
                <w:rFonts w:ascii="Arial" w:hAnsi="Arial" w:cs="Arial"/>
                <w:sz w:val="20"/>
              </w:rPr>
              <w:t>Office Supplies &amp; Publishing</w:t>
            </w:r>
          </w:p>
        </w:tc>
        <w:tc>
          <w:tcPr>
            <w:tcW w:w="2790" w:type="dxa"/>
          </w:tcPr>
          <w:p w14:paraId="4C251D3A" w14:textId="77777777" w:rsidR="000741E2" w:rsidRPr="000741E2" w:rsidRDefault="000741E2" w:rsidP="000741E2">
            <w:pPr>
              <w:rPr>
                <w:rFonts w:ascii="Arial" w:hAnsi="Arial" w:cs="Arial"/>
                <w:sz w:val="20"/>
              </w:rPr>
            </w:pPr>
            <w:r w:rsidRPr="000741E2">
              <w:rPr>
                <w:rFonts w:ascii="Arial" w:hAnsi="Arial" w:cs="Arial"/>
                <w:sz w:val="20"/>
              </w:rPr>
              <w:t>9,741</w:t>
            </w:r>
          </w:p>
        </w:tc>
      </w:tr>
      <w:tr w:rsidR="000741E2" w14:paraId="32BADCB8" w14:textId="77777777" w:rsidTr="000741E2">
        <w:tc>
          <w:tcPr>
            <w:tcW w:w="2880" w:type="dxa"/>
          </w:tcPr>
          <w:p w14:paraId="783C559B" w14:textId="77777777" w:rsidR="000741E2" w:rsidRPr="000741E2" w:rsidRDefault="000741E2" w:rsidP="000741E2">
            <w:pPr>
              <w:rPr>
                <w:rFonts w:ascii="Arial" w:hAnsi="Arial" w:cs="Arial"/>
                <w:sz w:val="20"/>
              </w:rPr>
            </w:pPr>
            <w:r w:rsidRPr="000741E2">
              <w:rPr>
                <w:rFonts w:ascii="Arial" w:hAnsi="Arial" w:cs="Arial"/>
                <w:sz w:val="20"/>
              </w:rPr>
              <w:t>Research</w:t>
            </w:r>
          </w:p>
        </w:tc>
        <w:tc>
          <w:tcPr>
            <w:tcW w:w="2790" w:type="dxa"/>
          </w:tcPr>
          <w:p w14:paraId="3DAD0C3A" w14:textId="77777777" w:rsidR="000741E2" w:rsidRPr="000741E2" w:rsidRDefault="000741E2" w:rsidP="000741E2">
            <w:pPr>
              <w:rPr>
                <w:rFonts w:ascii="Arial" w:hAnsi="Arial" w:cs="Arial"/>
                <w:sz w:val="20"/>
              </w:rPr>
            </w:pPr>
            <w:r w:rsidRPr="000741E2">
              <w:rPr>
                <w:rFonts w:ascii="Arial" w:hAnsi="Arial" w:cs="Arial"/>
                <w:sz w:val="20"/>
              </w:rPr>
              <w:t>23,933</w:t>
            </w:r>
          </w:p>
        </w:tc>
      </w:tr>
      <w:tr w:rsidR="000741E2" w14:paraId="55BA2A93" w14:textId="77777777" w:rsidTr="000741E2">
        <w:tc>
          <w:tcPr>
            <w:tcW w:w="2880" w:type="dxa"/>
          </w:tcPr>
          <w:p w14:paraId="45B25BE8" w14:textId="77777777" w:rsidR="000741E2" w:rsidRPr="000741E2" w:rsidRDefault="000741E2" w:rsidP="000741E2">
            <w:pPr>
              <w:rPr>
                <w:rFonts w:ascii="Arial" w:hAnsi="Arial" w:cs="Arial"/>
                <w:sz w:val="20"/>
              </w:rPr>
            </w:pPr>
            <w:r w:rsidRPr="000741E2">
              <w:rPr>
                <w:rFonts w:ascii="Arial" w:hAnsi="Arial" w:cs="Arial"/>
                <w:sz w:val="20"/>
              </w:rPr>
              <w:t>Training &amp; Consultancy</w:t>
            </w:r>
          </w:p>
        </w:tc>
        <w:tc>
          <w:tcPr>
            <w:tcW w:w="2790" w:type="dxa"/>
          </w:tcPr>
          <w:p w14:paraId="667C9DAF" w14:textId="77777777" w:rsidR="000741E2" w:rsidRPr="000741E2" w:rsidRDefault="000741E2" w:rsidP="000741E2">
            <w:pPr>
              <w:rPr>
                <w:rFonts w:ascii="Arial" w:hAnsi="Arial" w:cs="Arial"/>
                <w:sz w:val="20"/>
              </w:rPr>
            </w:pPr>
            <w:r w:rsidRPr="000741E2">
              <w:rPr>
                <w:rFonts w:ascii="Arial" w:hAnsi="Arial" w:cs="Arial"/>
                <w:sz w:val="20"/>
              </w:rPr>
              <w:t>14,881</w:t>
            </w:r>
          </w:p>
        </w:tc>
      </w:tr>
      <w:tr w:rsidR="000741E2" w14:paraId="3BB7CFFE" w14:textId="77777777" w:rsidTr="000741E2">
        <w:tc>
          <w:tcPr>
            <w:tcW w:w="2880" w:type="dxa"/>
          </w:tcPr>
          <w:p w14:paraId="620027BC" w14:textId="77777777" w:rsidR="000741E2" w:rsidRPr="000741E2" w:rsidRDefault="000741E2" w:rsidP="000741E2">
            <w:pPr>
              <w:rPr>
                <w:rFonts w:ascii="Arial" w:hAnsi="Arial" w:cs="Arial"/>
                <w:sz w:val="20"/>
              </w:rPr>
            </w:pPr>
            <w:r w:rsidRPr="000741E2">
              <w:rPr>
                <w:rFonts w:ascii="Arial" w:hAnsi="Arial" w:cs="Arial"/>
                <w:sz w:val="20"/>
              </w:rPr>
              <w:t>Conferences and Hospitality</w:t>
            </w:r>
          </w:p>
        </w:tc>
        <w:tc>
          <w:tcPr>
            <w:tcW w:w="2790" w:type="dxa"/>
          </w:tcPr>
          <w:p w14:paraId="3B014B70" w14:textId="77777777" w:rsidR="000741E2" w:rsidRPr="000741E2" w:rsidRDefault="000741E2" w:rsidP="000741E2">
            <w:pPr>
              <w:rPr>
                <w:rFonts w:ascii="Arial" w:hAnsi="Arial" w:cs="Arial"/>
                <w:sz w:val="20"/>
              </w:rPr>
            </w:pPr>
            <w:r w:rsidRPr="000741E2">
              <w:rPr>
                <w:rFonts w:ascii="Arial" w:hAnsi="Arial" w:cs="Arial"/>
                <w:sz w:val="20"/>
              </w:rPr>
              <w:t>653</w:t>
            </w:r>
          </w:p>
        </w:tc>
      </w:tr>
      <w:tr w:rsidR="000741E2" w14:paraId="5B79CBCA" w14:textId="77777777" w:rsidTr="000741E2">
        <w:tc>
          <w:tcPr>
            <w:tcW w:w="2880" w:type="dxa"/>
          </w:tcPr>
          <w:p w14:paraId="15B327FB" w14:textId="77777777" w:rsidR="000741E2" w:rsidRPr="000741E2" w:rsidRDefault="000741E2" w:rsidP="000741E2">
            <w:pPr>
              <w:rPr>
                <w:rFonts w:ascii="Arial" w:hAnsi="Arial" w:cs="Arial"/>
                <w:sz w:val="20"/>
              </w:rPr>
            </w:pPr>
            <w:r w:rsidRPr="000741E2">
              <w:rPr>
                <w:rFonts w:ascii="Arial" w:hAnsi="Arial" w:cs="Arial"/>
                <w:sz w:val="20"/>
              </w:rPr>
              <w:t>Estates</w:t>
            </w:r>
          </w:p>
        </w:tc>
        <w:tc>
          <w:tcPr>
            <w:tcW w:w="2790" w:type="dxa"/>
          </w:tcPr>
          <w:p w14:paraId="15118075" w14:textId="77777777" w:rsidR="000741E2" w:rsidRPr="000741E2" w:rsidRDefault="000741E2" w:rsidP="000741E2">
            <w:pPr>
              <w:rPr>
                <w:rFonts w:ascii="Arial" w:hAnsi="Arial" w:cs="Arial"/>
                <w:sz w:val="20"/>
              </w:rPr>
            </w:pPr>
            <w:r w:rsidRPr="000741E2">
              <w:rPr>
                <w:rFonts w:ascii="Arial" w:hAnsi="Arial" w:cs="Arial"/>
                <w:sz w:val="20"/>
              </w:rPr>
              <w:t>8,029</w:t>
            </w:r>
          </w:p>
        </w:tc>
      </w:tr>
      <w:tr w:rsidR="000741E2" w14:paraId="26311A4A" w14:textId="77777777" w:rsidTr="000741E2">
        <w:tc>
          <w:tcPr>
            <w:tcW w:w="2880" w:type="dxa"/>
          </w:tcPr>
          <w:p w14:paraId="6A8BE291" w14:textId="77777777" w:rsidR="000741E2" w:rsidRPr="000741E2" w:rsidRDefault="000741E2" w:rsidP="000741E2">
            <w:pPr>
              <w:rPr>
                <w:rFonts w:ascii="Arial" w:hAnsi="Arial" w:cs="Arial"/>
                <w:sz w:val="20"/>
              </w:rPr>
            </w:pPr>
            <w:r w:rsidRPr="000741E2">
              <w:rPr>
                <w:rFonts w:ascii="Arial" w:hAnsi="Arial" w:cs="Arial"/>
                <w:sz w:val="20"/>
              </w:rPr>
              <w:t>Awareness/Training Materia</w:t>
            </w:r>
          </w:p>
        </w:tc>
        <w:tc>
          <w:tcPr>
            <w:tcW w:w="2790" w:type="dxa"/>
          </w:tcPr>
          <w:p w14:paraId="137FBAE2" w14:textId="77777777" w:rsidR="000741E2" w:rsidRPr="000741E2" w:rsidRDefault="000741E2" w:rsidP="000741E2">
            <w:pPr>
              <w:rPr>
                <w:rFonts w:ascii="Arial" w:hAnsi="Arial" w:cs="Arial"/>
                <w:sz w:val="20"/>
              </w:rPr>
            </w:pPr>
            <w:r w:rsidRPr="000741E2">
              <w:rPr>
                <w:rFonts w:ascii="Arial" w:hAnsi="Arial" w:cs="Arial"/>
                <w:sz w:val="20"/>
              </w:rPr>
              <w:t>6,000</w:t>
            </w:r>
          </w:p>
        </w:tc>
      </w:tr>
      <w:tr w:rsidR="000741E2" w14:paraId="22F3B45A" w14:textId="77777777" w:rsidTr="000741E2">
        <w:tc>
          <w:tcPr>
            <w:tcW w:w="2880" w:type="dxa"/>
          </w:tcPr>
          <w:p w14:paraId="44CA4679" w14:textId="77777777" w:rsidR="000741E2" w:rsidRPr="000741E2" w:rsidRDefault="000741E2" w:rsidP="000741E2">
            <w:pPr>
              <w:rPr>
                <w:rFonts w:ascii="Arial" w:hAnsi="Arial" w:cs="Arial"/>
                <w:sz w:val="20"/>
              </w:rPr>
            </w:pPr>
            <w:r w:rsidRPr="000741E2">
              <w:rPr>
                <w:rFonts w:ascii="Arial" w:hAnsi="Arial" w:cs="Arial"/>
                <w:sz w:val="20"/>
              </w:rPr>
              <w:t>Other</w:t>
            </w:r>
          </w:p>
        </w:tc>
        <w:tc>
          <w:tcPr>
            <w:tcW w:w="2790" w:type="dxa"/>
          </w:tcPr>
          <w:p w14:paraId="1EFE75A3" w14:textId="77777777" w:rsidR="000741E2" w:rsidRPr="000741E2" w:rsidRDefault="000741E2" w:rsidP="000741E2">
            <w:pPr>
              <w:rPr>
                <w:rFonts w:ascii="Arial" w:hAnsi="Arial" w:cs="Arial"/>
                <w:sz w:val="20"/>
              </w:rPr>
            </w:pPr>
            <w:r w:rsidRPr="000741E2">
              <w:rPr>
                <w:rFonts w:ascii="Arial" w:hAnsi="Arial" w:cs="Arial"/>
                <w:sz w:val="20"/>
              </w:rPr>
              <w:t>5,173</w:t>
            </w:r>
          </w:p>
        </w:tc>
      </w:tr>
      <w:tr w:rsidR="000741E2" w14:paraId="215EAEB3" w14:textId="77777777" w:rsidTr="000741E2">
        <w:tc>
          <w:tcPr>
            <w:tcW w:w="2880" w:type="dxa"/>
          </w:tcPr>
          <w:p w14:paraId="7A5A94C4" w14:textId="77777777" w:rsidR="000741E2" w:rsidRPr="000741E2" w:rsidRDefault="000741E2" w:rsidP="000741E2">
            <w:pPr>
              <w:rPr>
                <w:rFonts w:ascii="Arial" w:hAnsi="Arial" w:cs="Arial"/>
                <w:sz w:val="20"/>
              </w:rPr>
            </w:pPr>
            <w:r w:rsidRPr="000741E2">
              <w:rPr>
                <w:rFonts w:ascii="Arial" w:hAnsi="Arial" w:cs="Arial"/>
                <w:sz w:val="20"/>
              </w:rPr>
              <w:t>Income</w:t>
            </w:r>
          </w:p>
        </w:tc>
        <w:tc>
          <w:tcPr>
            <w:tcW w:w="2790" w:type="dxa"/>
          </w:tcPr>
          <w:p w14:paraId="000A2CA0" w14:textId="77777777" w:rsidR="000741E2" w:rsidRPr="000741E2" w:rsidRDefault="000741E2" w:rsidP="000741E2">
            <w:pPr>
              <w:rPr>
                <w:rFonts w:ascii="Arial" w:hAnsi="Arial" w:cs="Arial"/>
                <w:sz w:val="20"/>
              </w:rPr>
            </w:pPr>
            <w:r w:rsidRPr="000741E2">
              <w:rPr>
                <w:rFonts w:ascii="Arial" w:hAnsi="Arial" w:cs="Arial"/>
                <w:sz w:val="20"/>
              </w:rPr>
              <w:t>42,140</w:t>
            </w:r>
          </w:p>
        </w:tc>
      </w:tr>
      <w:tr w:rsidR="000741E2" w14:paraId="55C551DC" w14:textId="77777777" w:rsidTr="000741E2">
        <w:tc>
          <w:tcPr>
            <w:tcW w:w="2880" w:type="dxa"/>
          </w:tcPr>
          <w:p w14:paraId="4860C1D3" w14:textId="77777777" w:rsidR="000741E2" w:rsidRPr="000741E2" w:rsidRDefault="000741E2" w:rsidP="000741E2">
            <w:pPr>
              <w:rPr>
                <w:rFonts w:ascii="Arial" w:hAnsi="Arial" w:cs="Arial"/>
                <w:sz w:val="20"/>
              </w:rPr>
            </w:pPr>
          </w:p>
        </w:tc>
        <w:tc>
          <w:tcPr>
            <w:tcW w:w="2790" w:type="dxa"/>
          </w:tcPr>
          <w:p w14:paraId="42F896FD" w14:textId="77777777" w:rsidR="000741E2" w:rsidRPr="000741E2" w:rsidRDefault="000741E2" w:rsidP="000741E2">
            <w:pPr>
              <w:rPr>
                <w:rFonts w:ascii="Arial" w:hAnsi="Arial" w:cs="Arial"/>
                <w:sz w:val="20"/>
              </w:rPr>
            </w:pPr>
          </w:p>
        </w:tc>
      </w:tr>
      <w:tr w:rsidR="000741E2" w14:paraId="14BCDFF3" w14:textId="77777777" w:rsidTr="000741E2">
        <w:tc>
          <w:tcPr>
            <w:tcW w:w="2880" w:type="dxa"/>
          </w:tcPr>
          <w:p w14:paraId="0DE2389F" w14:textId="77777777" w:rsidR="000741E2" w:rsidRPr="000741E2" w:rsidRDefault="000741E2" w:rsidP="000741E2">
            <w:pPr>
              <w:rPr>
                <w:rFonts w:ascii="Arial" w:hAnsi="Arial" w:cs="Arial"/>
                <w:sz w:val="20"/>
              </w:rPr>
            </w:pPr>
            <w:r w:rsidRPr="000741E2">
              <w:rPr>
                <w:rFonts w:ascii="Arial" w:hAnsi="Arial" w:cs="Arial"/>
                <w:sz w:val="20"/>
              </w:rPr>
              <w:t>Total</w:t>
            </w:r>
          </w:p>
        </w:tc>
        <w:tc>
          <w:tcPr>
            <w:tcW w:w="2790" w:type="dxa"/>
          </w:tcPr>
          <w:p w14:paraId="3AA2DB1E" w14:textId="77777777" w:rsidR="000741E2" w:rsidRPr="000741E2" w:rsidRDefault="000741E2" w:rsidP="000741E2">
            <w:pPr>
              <w:rPr>
                <w:rFonts w:ascii="Arial" w:hAnsi="Arial" w:cs="Arial"/>
                <w:sz w:val="20"/>
              </w:rPr>
            </w:pPr>
            <w:r w:rsidRPr="000741E2">
              <w:rPr>
                <w:rFonts w:ascii="Arial" w:hAnsi="Arial" w:cs="Arial"/>
                <w:sz w:val="20"/>
              </w:rPr>
              <w:t>588,025</w:t>
            </w:r>
          </w:p>
        </w:tc>
      </w:tr>
    </w:tbl>
    <w:p w14:paraId="2CE81CC9" w14:textId="77777777" w:rsidR="008E3BCD" w:rsidRDefault="008E3BCD" w:rsidP="000741E2">
      <w:pPr>
        <w:jc w:val="center"/>
        <w:rPr>
          <w:rFonts w:ascii="Arial" w:hAnsi="Arial" w:cs="Arial"/>
        </w:rPr>
      </w:pPr>
    </w:p>
    <w:p w14:paraId="5FA504A3" w14:textId="77777777" w:rsidR="008E3BCD" w:rsidRDefault="008E3BCD" w:rsidP="00EB4996">
      <w:pPr>
        <w:jc w:val="both"/>
        <w:rPr>
          <w:rFonts w:ascii="Arial" w:hAnsi="Arial" w:cs="Arial"/>
        </w:rPr>
      </w:pPr>
    </w:p>
    <w:p w14:paraId="58AFD534" w14:textId="77777777" w:rsidR="00154378" w:rsidRDefault="00154378" w:rsidP="00EB4996">
      <w:pPr>
        <w:jc w:val="both"/>
        <w:rPr>
          <w:rFonts w:ascii="Arial" w:hAnsi="Arial" w:cs="Arial"/>
        </w:rPr>
      </w:pPr>
    </w:p>
    <w:p w14:paraId="6C930C9F" w14:textId="77777777" w:rsidR="00222DA5" w:rsidRPr="00222DA5" w:rsidRDefault="00222DA5" w:rsidP="00222DA5">
      <w:pPr>
        <w:jc w:val="center"/>
        <w:rPr>
          <w:rFonts w:ascii="Arial" w:hAnsi="Arial" w:cs="Arial"/>
          <w:u w:val="single"/>
        </w:rPr>
      </w:pPr>
      <w:r w:rsidRPr="00222DA5">
        <w:rPr>
          <w:rFonts w:ascii="Arial" w:hAnsi="Arial" w:cs="Arial"/>
          <w:u w:val="single"/>
        </w:rPr>
        <w:t>Independent Anti-Slavery Commission</w:t>
      </w:r>
    </w:p>
    <w:p w14:paraId="60581CB5" w14:textId="77777777" w:rsidR="00222DA5" w:rsidRPr="00222DA5" w:rsidRDefault="00222DA5" w:rsidP="00222DA5">
      <w:pPr>
        <w:jc w:val="center"/>
        <w:rPr>
          <w:rFonts w:ascii="Arial" w:hAnsi="Arial" w:cs="Arial"/>
          <w:u w:val="single"/>
        </w:rPr>
      </w:pPr>
      <w:r w:rsidRPr="00222DA5">
        <w:rPr>
          <w:rFonts w:ascii="Arial" w:hAnsi="Arial" w:cs="Arial"/>
          <w:u w:val="single"/>
        </w:rPr>
        <w:t xml:space="preserve">2018/19 </w:t>
      </w:r>
      <w:r w:rsidR="00FE34C9">
        <w:rPr>
          <w:rFonts w:ascii="Arial" w:hAnsi="Arial" w:cs="Arial"/>
          <w:u w:val="single"/>
        </w:rPr>
        <w:t xml:space="preserve">April to March </w:t>
      </w:r>
      <w:r w:rsidR="000741E2">
        <w:rPr>
          <w:rFonts w:ascii="Arial" w:hAnsi="Arial" w:cs="Arial"/>
          <w:u w:val="single"/>
        </w:rPr>
        <w:t xml:space="preserve">reported </w:t>
      </w:r>
      <w:r w:rsidRPr="00222DA5">
        <w:rPr>
          <w:rFonts w:ascii="Arial" w:hAnsi="Arial" w:cs="Arial"/>
          <w:u w:val="single"/>
        </w:rPr>
        <w:t>financial outturn</w:t>
      </w:r>
    </w:p>
    <w:p w14:paraId="2F5229CA" w14:textId="77777777" w:rsidR="00222DA5" w:rsidRDefault="00222DA5" w:rsidP="00EB4996">
      <w:pPr>
        <w:jc w:val="both"/>
        <w:rPr>
          <w:rFonts w:ascii="Arial" w:hAnsi="Arial" w:cs="Arial"/>
        </w:rPr>
      </w:pPr>
    </w:p>
    <w:p w14:paraId="7E1A02A5" w14:textId="77777777" w:rsidR="00222DA5" w:rsidRDefault="00222DA5" w:rsidP="00EB4996">
      <w:pPr>
        <w:jc w:val="both"/>
        <w:rPr>
          <w:rFonts w:ascii="Arial" w:hAnsi="Arial" w:cs="Arial"/>
        </w:rPr>
      </w:pPr>
    </w:p>
    <w:tbl>
      <w:tblPr>
        <w:tblStyle w:val="TableGrid"/>
        <w:tblW w:w="0" w:type="auto"/>
        <w:jc w:val="center"/>
        <w:tblLook w:val="04A0" w:firstRow="1" w:lastRow="0" w:firstColumn="1" w:lastColumn="0" w:noHBand="0" w:noVBand="1"/>
      </w:tblPr>
      <w:tblGrid>
        <w:gridCol w:w="2830"/>
        <w:gridCol w:w="2835"/>
      </w:tblGrid>
      <w:tr w:rsidR="00222DA5" w14:paraId="01B72455" w14:textId="77777777" w:rsidTr="000741E2">
        <w:trPr>
          <w:jc w:val="center"/>
        </w:trPr>
        <w:tc>
          <w:tcPr>
            <w:tcW w:w="2830" w:type="dxa"/>
          </w:tcPr>
          <w:p w14:paraId="46E47318" w14:textId="77777777" w:rsidR="00222DA5" w:rsidRPr="00222DA5" w:rsidRDefault="00222DA5" w:rsidP="00EB4996">
            <w:pPr>
              <w:jc w:val="both"/>
              <w:rPr>
                <w:rFonts w:ascii="Arial" w:hAnsi="Arial" w:cs="Arial"/>
                <w:sz w:val="20"/>
              </w:rPr>
            </w:pPr>
            <w:r w:rsidRPr="00222DA5">
              <w:rPr>
                <w:rFonts w:ascii="Arial" w:hAnsi="Arial" w:cs="Arial"/>
                <w:sz w:val="20"/>
              </w:rPr>
              <w:t>Pay costs</w:t>
            </w:r>
          </w:p>
        </w:tc>
        <w:tc>
          <w:tcPr>
            <w:tcW w:w="2835" w:type="dxa"/>
          </w:tcPr>
          <w:p w14:paraId="45204300" w14:textId="77777777" w:rsidR="00222DA5" w:rsidRPr="00222DA5" w:rsidRDefault="00222DA5" w:rsidP="00EB4996">
            <w:pPr>
              <w:jc w:val="both"/>
              <w:rPr>
                <w:rFonts w:ascii="Arial" w:hAnsi="Arial" w:cs="Arial"/>
                <w:sz w:val="20"/>
              </w:rPr>
            </w:pPr>
            <w:r w:rsidRPr="00222DA5">
              <w:rPr>
                <w:rFonts w:ascii="Arial" w:hAnsi="Arial" w:cs="Arial"/>
                <w:sz w:val="20"/>
              </w:rPr>
              <w:t>496,084</w:t>
            </w:r>
          </w:p>
        </w:tc>
      </w:tr>
      <w:tr w:rsidR="00222DA5" w14:paraId="2B55ECF1" w14:textId="77777777" w:rsidTr="000741E2">
        <w:trPr>
          <w:jc w:val="center"/>
        </w:trPr>
        <w:tc>
          <w:tcPr>
            <w:tcW w:w="2830" w:type="dxa"/>
          </w:tcPr>
          <w:p w14:paraId="69F96F5F" w14:textId="77777777" w:rsidR="00222DA5" w:rsidRPr="00222DA5" w:rsidRDefault="00222DA5" w:rsidP="00EB4996">
            <w:pPr>
              <w:jc w:val="both"/>
              <w:rPr>
                <w:rFonts w:ascii="Arial" w:hAnsi="Arial" w:cs="Arial"/>
                <w:sz w:val="20"/>
              </w:rPr>
            </w:pPr>
            <w:r w:rsidRPr="00222DA5">
              <w:rPr>
                <w:rFonts w:ascii="Arial" w:hAnsi="Arial" w:cs="Arial"/>
                <w:sz w:val="20"/>
              </w:rPr>
              <w:t>Contingency labour</w:t>
            </w:r>
          </w:p>
        </w:tc>
        <w:tc>
          <w:tcPr>
            <w:tcW w:w="2835" w:type="dxa"/>
          </w:tcPr>
          <w:p w14:paraId="21328CF2" w14:textId="77777777" w:rsidR="00222DA5" w:rsidRPr="00222DA5" w:rsidRDefault="00222DA5" w:rsidP="00EB4996">
            <w:pPr>
              <w:jc w:val="both"/>
              <w:rPr>
                <w:rFonts w:ascii="Arial" w:hAnsi="Arial" w:cs="Arial"/>
                <w:sz w:val="20"/>
              </w:rPr>
            </w:pPr>
            <w:r>
              <w:rPr>
                <w:rFonts w:ascii="Arial" w:hAnsi="Arial" w:cs="Arial"/>
                <w:sz w:val="20"/>
              </w:rPr>
              <w:t>17,534</w:t>
            </w:r>
          </w:p>
        </w:tc>
      </w:tr>
      <w:tr w:rsidR="00222DA5" w14:paraId="0C1351B3" w14:textId="77777777" w:rsidTr="000741E2">
        <w:trPr>
          <w:jc w:val="center"/>
        </w:trPr>
        <w:tc>
          <w:tcPr>
            <w:tcW w:w="2830" w:type="dxa"/>
          </w:tcPr>
          <w:p w14:paraId="1A6FA8E7" w14:textId="77777777" w:rsidR="00222DA5" w:rsidRPr="00222DA5" w:rsidRDefault="00222DA5" w:rsidP="00EB4996">
            <w:pPr>
              <w:jc w:val="both"/>
              <w:rPr>
                <w:rFonts w:ascii="Arial" w:hAnsi="Arial" w:cs="Arial"/>
                <w:sz w:val="20"/>
              </w:rPr>
            </w:pPr>
            <w:r w:rsidRPr="00222DA5">
              <w:rPr>
                <w:rFonts w:ascii="Arial" w:hAnsi="Arial" w:cs="Arial"/>
                <w:sz w:val="20"/>
              </w:rPr>
              <w:t>Travel and subsistence</w:t>
            </w:r>
          </w:p>
        </w:tc>
        <w:tc>
          <w:tcPr>
            <w:tcW w:w="2835" w:type="dxa"/>
          </w:tcPr>
          <w:p w14:paraId="48AF671B" w14:textId="77777777" w:rsidR="00222DA5" w:rsidRPr="00222DA5" w:rsidRDefault="00222DA5" w:rsidP="00EB4996">
            <w:pPr>
              <w:jc w:val="both"/>
              <w:rPr>
                <w:rFonts w:ascii="Arial" w:hAnsi="Arial" w:cs="Arial"/>
                <w:sz w:val="20"/>
              </w:rPr>
            </w:pPr>
            <w:r>
              <w:rPr>
                <w:rFonts w:ascii="Arial" w:hAnsi="Arial" w:cs="Arial"/>
                <w:sz w:val="20"/>
              </w:rPr>
              <w:t>26,962</w:t>
            </w:r>
          </w:p>
        </w:tc>
      </w:tr>
      <w:tr w:rsidR="00222DA5" w14:paraId="188DE1AF" w14:textId="77777777" w:rsidTr="000741E2">
        <w:trPr>
          <w:jc w:val="center"/>
        </w:trPr>
        <w:tc>
          <w:tcPr>
            <w:tcW w:w="2830" w:type="dxa"/>
          </w:tcPr>
          <w:p w14:paraId="5C32002A" w14:textId="77777777" w:rsidR="00222DA5" w:rsidRPr="00222DA5" w:rsidRDefault="00222DA5" w:rsidP="00EB4996">
            <w:pPr>
              <w:jc w:val="both"/>
              <w:rPr>
                <w:rFonts w:ascii="Arial" w:hAnsi="Arial" w:cs="Arial"/>
                <w:sz w:val="20"/>
              </w:rPr>
            </w:pPr>
            <w:r w:rsidRPr="00222DA5">
              <w:rPr>
                <w:rFonts w:ascii="Arial" w:hAnsi="Arial" w:cs="Arial"/>
                <w:sz w:val="20"/>
              </w:rPr>
              <w:t>Office supplies</w:t>
            </w:r>
            <w:r>
              <w:rPr>
                <w:rFonts w:ascii="Arial" w:hAnsi="Arial" w:cs="Arial"/>
                <w:sz w:val="20"/>
              </w:rPr>
              <w:t xml:space="preserve"> and services</w:t>
            </w:r>
          </w:p>
        </w:tc>
        <w:tc>
          <w:tcPr>
            <w:tcW w:w="2835" w:type="dxa"/>
          </w:tcPr>
          <w:p w14:paraId="053D37AF" w14:textId="77777777" w:rsidR="00222DA5" w:rsidRPr="00222DA5" w:rsidRDefault="00222DA5" w:rsidP="00EB4996">
            <w:pPr>
              <w:jc w:val="both"/>
              <w:rPr>
                <w:rFonts w:ascii="Arial" w:hAnsi="Arial" w:cs="Arial"/>
                <w:sz w:val="20"/>
              </w:rPr>
            </w:pPr>
            <w:r>
              <w:rPr>
                <w:rFonts w:ascii="Arial" w:hAnsi="Arial" w:cs="Arial"/>
                <w:sz w:val="20"/>
              </w:rPr>
              <w:t>6,413</w:t>
            </w:r>
          </w:p>
        </w:tc>
      </w:tr>
      <w:tr w:rsidR="00222DA5" w14:paraId="749D4A9E" w14:textId="77777777" w:rsidTr="000741E2">
        <w:trPr>
          <w:jc w:val="center"/>
        </w:trPr>
        <w:tc>
          <w:tcPr>
            <w:tcW w:w="2830" w:type="dxa"/>
          </w:tcPr>
          <w:p w14:paraId="1617B764" w14:textId="77777777" w:rsidR="00222DA5" w:rsidRPr="00222DA5" w:rsidRDefault="00222DA5" w:rsidP="00EB4996">
            <w:pPr>
              <w:jc w:val="both"/>
              <w:rPr>
                <w:rFonts w:ascii="Arial" w:hAnsi="Arial" w:cs="Arial"/>
                <w:sz w:val="20"/>
              </w:rPr>
            </w:pPr>
            <w:r w:rsidRPr="00222DA5">
              <w:rPr>
                <w:rFonts w:ascii="Arial" w:hAnsi="Arial" w:cs="Arial"/>
                <w:sz w:val="20"/>
              </w:rPr>
              <w:t>Training and recruitment</w:t>
            </w:r>
          </w:p>
        </w:tc>
        <w:tc>
          <w:tcPr>
            <w:tcW w:w="2835" w:type="dxa"/>
          </w:tcPr>
          <w:p w14:paraId="26E32F60" w14:textId="77777777" w:rsidR="00222DA5" w:rsidRPr="00222DA5" w:rsidRDefault="00222DA5" w:rsidP="00EB4996">
            <w:pPr>
              <w:jc w:val="both"/>
              <w:rPr>
                <w:rFonts w:ascii="Arial" w:hAnsi="Arial" w:cs="Arial"/>
                <w:sz w:val="20"/>
              </w:rPr>
            </w:pPr>
            <w:r>
              <w:rPr>
                <w:rFonts w:ascii="Arial" w:hAnsi="Arial" w:cs="Arial"/>
                <w:sz w:val="20"/>
              </w:rPr>
              <w:t>2,202</w:t>
            </w:r>
          </w:p>
        </w:tc>
      </w:tr>
      <w:tr w:rsidR="00222DA5" w14:paraId="6B1C3420" w14:textId="77777777" w:rsidTr="000741E2">
        <w:trPr>
          <w:jc w:val="center"/>
        </w:trPr>
        <w:tc>
          <w:tcPr>
            <w:tcW w:w="2830" w:type="dxa"/>
          </w:tcPr>
          <w:p w14:paraId="514479F2" w14:textId="77777777" w:rsidR="00222DA5" w:rsidRPr="00222DA5" w:rsidRDefault="00222DA5" w:rsidP="00EB4996">
            <w:pPr>
              <w:jc w:val="both"/>
              <w:rPr>
                <w:rFonts w:ascii="Arial" w:hAnsi="Arial" w:cs="Arial"/>
                <w:sz w:val="20"/>
              </w:rPr>
            </w:pPr>
            <w:r>
              <w:rPr>
                <w:rFonts w:ascii="Arial" w:hAnsi="Arial" w:cs="Arial"/>
                <w:sz w:val="20"/>
              </w:rPr>
              <w:t>IT and Comms</w:t>
            </w:r>
          </w:p>
        </w:tc>
        <w:tc>
          <w:tcPr>
            <w:tcW w:w="2835" w:type="dxa"/>
          </w:tcPr>
          <w:p w14:paraId="4B071E24" w14:textId="77777777" w:rsidR="00222DA5" w:rsidRPr="00222DA5" w:rsidRDefault="00222DA5" w:rsidP="00EB4996">
            <w:pPr>
              <w:jc w:val="both"/>
              <w:rPr>
                <w:rFonts w:ascii="Arial" w:hAnsi="Arial" w:cs="Arial"/>
                <w:sz w:val="20"/>
              </w:rPr>
            </w:pPr>
            <w:r>
              <w:rPr>
                <w:rFonts w:ascii="Arial" w:hAnsi="Arial" w:cs="Arial"/>
                <w:sz w:val="20"/>
              </w:rPr>
              <w:t>2,144</w:t>
            </w:r>
          </w:p>
        </w:tc>
      </w:tr>
      <w:tr w:rsidR="00222DA5" w14:paraId="79C90538" w14:textId="77777777" w:rsidTr="000741E2">
        <w:trPr>
          <w:jc w:val="center"/>
        </w:trPr>
        <w:tc>
          <w:tcPr>
            <w:tcW w:w="2830" w:type="dxa"/>
          </w:tcPr>
          <w:p w14:paraId="3408A2CA" w14:textId="77777777" w:rsidR="00222DA5" w:rsidRPr="00222DA5" w:rsidRDefault="00102FD5" w:rsidP="00EB4996">
            <w:pPr>
              <w:jc w:val="both"/>
              <w:rPr>
                <w:rFonts w:ascii="Arial" w:hAnsi="Arial" w:cs="Arial"/>
                <w:sz w:val="20"/>
              </w:rPr>
            </w:pPr>
            <w:r>
              <w:rPr>
                <w:rFonts w:ascii="Arial" w:hAnsi="Arial" w:cs="Arial"/>
                <w:sz w:val="20"/>
              </w:rPr>
              <w:t>Legal costs</w:t>
            </w:r>
          </w:p>
        </w:tc>
        <w:tc>
          <w:tcPr>
            <w:tcW w:w="2835" w:type="dxa"/>
          </w:tcPr>
          <w:p w14:paraId="4A5A0044" w14:textId="77777777" w:rsidR="00222DA5" w:rsidRPr="00222DA5" w:rsidRDefault="00222DA5" w:rsidP="00EB4996">
            <w:pPr>
              <w:jc w:val="both"/>
              <w:rPr>
                <w:rFonts w:ascii="Arial" w:hAnsi="Arial" w:cs="Arial"/>
                <w:sz w:val="20"/>
              </w:rPr>
            </w:pPr>
            <w:r>
              <w:rPr>
                <w:rFonts w:ascii="Arial" w:hAnsi="Arial" w:cs="Arial"/>
                <w:sz w:val="20"/>
              </w:rPr>
              <w:t>14,400</w:t>
            </w:r>
          </w:p>
        </w:tc>
      </w:tr>
      <w:tr w:rsidR="00102FD5" w14:paraId="11C0A9CB" w14:textId="77777777" w:rsidTr="000741E2">
        <w:trPr>
          <w:jc w:val="center"/>
        </w:trPr>
        <w:tc>
          <w:tcPr>
            <w:tcW w:w="2830" w:type="dxa"/>
          </w:tcPr>
          <w:p w14:paraId="2FDA315A" w14:textId="77777777" w:rsidR="00102FD5" w:rsidRDefault="00102FD5" w:rsidP="00EB4996">
            <w:pPr>
              <w:jc w:val="both"/>
              <w:rPr>
                <w:rFonts w:ascii="Arial" w:hAnsi="Arial" w:cs="Arial"/>
                <w:sz w:val="20"/>
              </w:rPr>
            </w:pPr>
            <w:r>
              <w:rPr>
                <w:rFonts w:ascii="Arial" w:hAnsi="Arial" w:cs="Arial"/>
                <w:sz w:val="20"/>
              </w:rPr>
              <w:t>Other costs and services</w:t>
            </w:r>
          </w:p>
        </w:tc>
        <w:tc>
          <w:tcPr>
            <w:tcW w:w="2835" w:type="dxa"/>
          </w:tcPr>
          <w:p w14:paraId="60A414D9" w14:textId="77777777" w:rsidR="00102FD5" w:rsidRDefault="00102FD5" w:rsidP="00EB4996">
            <w:pPr>
              <w:jc w:val="both"/>
              <w:rPr>
                <w:rFonts w:ascii="Arial" w:hAnsi="Arial" w:cs="Arial"/>
                <w:sz w:val="20"/>
              </w:rPr>
            </w:pPr>
            <w:r w:rsidRPr="00102FD5">
              <w:rPr>
                <w:rFonts w:ascii="Arial" w:hAnsi="Arial" w:cs="Arial"/>
                <w:sz w:val="20"/>
              </w:rPr>
              <w:t>64,616</w:t>
            </w:r>
          </w:p>
        </w:tc>
      </w:tr>
      <w:tr w:rsidR="00222DA5" w14:paraId="0B1C8C3A" w14:textId="77777777" w:rsidTr="000741E2">
        <w:trPr>
          <w:jc w:val="center"/>
        </w:trPr>
        <w:tc>
          <w:tcPr>
            <w:tcW w:w="2830" w:type="dxa"/>
          </w:tcPr>
          <w:p w14:paraId="273E85DF" w14:textId="77777777" w:rsidR="00222DA5" w:rsidRPr="00222DA5" w:rsidRDefault="00222DA5" w:rsidP="00EB4996">
            <w:pPr>
              <w:jc w:val="both"/>
              <w:rPr>
                <w:rFonts w:ascii="Arial" w:hAnsi="Arial" w:cs="Arial"/>
                <w:sz w:val="20"/>
              </w:rPr>
            </w:pPr>
            <w:r>
              <w:rPr>
                <w:rFonts w:ascii="Arial" w:hAnsi="Arial" w:cs="Arial"/>
                <w:sz w:val="20"/>
              </w:rPr>
              <w:t>Income</w:t>
            </w:r>
          </w:p>
        </w:tc>
        <w:tc>
          <w:tcPr>
            <w:tcW w:w="2835" w:type="dxa"/>
          </w:tcPr>
          <w:p w14:paraId="24A28D89" w14:textId="77777777" w:rsidR="00222DA5" w:rsidRPr="00222DA5" w:rsidRDefault="00102FD5" w:rsidP="00EB4996">
            <w:pPr>
              <w:jc w:val="both"/>
              <w:rPr>
                <w:rFonts w:ascii="Arial" w:hAnsi="Arial" w:cs="Arial"/>
                <w:sz w:val="20"/>
              </w:rPr>
            </w:pPr>
            <w:r>
              <w:rPr>
                <w:rFonts w:ascii="Arial" w:hAnsi="Arial" w:cs="Arial"/>
                <w:sz w:val="20"/>
              </w:rPr>
              <w:t>600</w:t>
            </w:r>
          </w:p>
        </w:tc>
      </w:tr>
      <w:tr w:rsidR="00222DA5" w14:paraId="2BDDF9B8" w14:textId="77777777" w:rsidTr="000741E2">
        <w:trPr>
          <w:jc w:val="center"/>
        </w:trPr>
        <w:tc>
          <w:tcPr>
            <w:tcW w:w="2830" w:type="dxa"/>
          </w:tcPr>
          <w:p w14:paraId="613C3D2C" w14:textId="77777777" w:rsidR="00222DA5" w:rsidRPr="00222DA5" w:rsidRDefault="00222DA5" w:rsidP="00EB4996">
            <w:pPr>
              <w:jc w:val="both"/>
              <w:rPr>
                <w:rFonts w:ascii="Arial" w:hAnsi="Arial" w:cs="Arial"/>
                <w:sz w:val="20"/>
              </w:rPr>
            </w:pPr>
          </w:p>
        </w:tc>
        <w:tc>
          <w:tcPr>
            <w:tcW w:w="2835" w:type="dxa"/>
          </w:tcPr>
          <w:p w14:paraId="5F03B259" w14:textId="77777777" w:rsidR="00222DA5" w:rsidRPr="00222DA5" w:rsidRDefault="00222DA5" w:rsidP="00EB4996">
            <w:pPr>
              <w:jc w:val="both"/>
              <w:rPr>
                <w:rFonts w:ascii="Arial" w:hAnsi="Arial" w:cs="Arial"/>
                <w:sz w:val="20"/>
              </w:rPr>
            </w:pPr>
          </w:p>
        </w:tc>
      </w:tr>
      <w:tr w:rsidR="00222DA5" w14:paraId="52B8C3F9" w14:textId="77777777" w:rsidTr="000741E2">
        <w:trPr>
          <w:jc w:val="center"/>
        </w:trPr>
        <w:tc>
          <w:tcPr>
            <w:tcW w:w="2830" w:type="dxa"/>
          </w:tcPr>
          <w:p w14:paraId="7DC1C535" w14:textId="77777777" w:rsidR="00222DA5" w:rsidRPr="00102FD5" w:rsidRDefault="00102FD5" w:rsidP="00EB4996">
            <w:pPr>
              <w:jc w:val="both"/>
              <w:rPr>
                <w:rFonts w:ascii="Arial" w:hAnsi="Arial" w:cs="Arial"/>
                <w:sz w:val="20"/>
              </w:rPr>
            </w:pPr>
            <w:r w:rsidRPr="00102FD5">
              <w:rPr>
                <w:rFonts w:ascii="Arial" w:hAnsi="Arial" w:cs="Arial"/>
                <w:sz w:val="20"/>
              </w:rPr>
              <w:t>Total</w:t>
            </w:r>
          </w:p>
        </w:tc>
        <w:tc>
          <w:tcPr>
            <w:tcW w:w="2835" w:type="dxa"/>
          </w:tcPr>
          <w:p w14:paraId="0DB77965" w14:textId="77777777" w:rsidR="00222DA5" w:rsidRPr="00222DA5" w:rsidRDefault="00102FD5" w:rsidP="00EB4996">
            <w:pPr>
              <w:jc w:val="both"/>
              <w:rPr>
                <w:rFonts w:ascii="Arial" w:hAnsi="Arial" w:cs="Arial"/>
                <w:sz w:val="20"/>
              </w:rPr>
            </w:pPr>
            <w:r>
              <w:rPr>
                <w:rFonts w:ascii="Arial" w:hAnsi="Arial" w:cs="Arial"/>
                <w:sz w:val="20"/>
              </w:rPr>
              <w:t>629,755</w:t>
            </w:r>
          </w:p>
        </w:tc>
      </w:tr>
    </w:tbl>
    <w:p w14:paraId="15430EB6" w14:textId="77777777" w:rsidR="00222DA5" w:rsidRDefault="00222DA5" w:rsidP="00EB4996">
      <w:pPr>
        <w:jc w:val="both"/>
        <w:rPr>
          <w:rFonts w:ascii="Arial" w:hAnsi="Arial" w:cs="Arial"/>
        </w:rPr>
      </w:pPr>
    </w:p>
    <w:p w14:paraId="48981B22" w14:textId="77777777" w:rsidR="00FE34C9" w:rsidRDefault="00FE34C9" w:rsidP="00EB4996">
      <w:pPr>
        <w:jc w:val="both"/>
        <w:rPr>
          <w:rFonts w:ascii="Arial" w:hAnsi="Arial" w:cs="Arial"/>
        </w:rPr>
      </w:pPr>
    </w:p>
    <w:p w14:paraId="0E55B7FA" w14:textId="77777777" w:rsidR="00FE34C9" w:rsidRDefault="00FE34C9" w:rsidP="00EB4996">
      <w:pPr>
        <w:jc w:val="both"/>
        <w:rPr>
          <w:rFonts w:ascii="Arial" w:hAnsi="Arial" w:cs="Arial"/>
        </w:rPr>
      </w:pPr>
    </w:p>
    <w:p w14:paraId="097FB662" w14:textId="77777777" w:rsidR="00FE34C9" w:rsidRDefault="00FE34C9" w:rsidP="00EB4996">
      <w:pPr>
        <w:jc w:val="both"/>
        <w:rPr>
          <w:rFonts w:ascii="Arial" w:hAnsi="Arial" w:cs="Arial"/>
        </w:rPr>
      </w:pPr>
    </w:p>
    <w:p w14:paraId="038488CD" w14:textId="77777777" w:rsidR="00FE34C9" w:rsidRDefault="00FE34C9" w:rsidP="00EB4996">
      <w:pPr>
        <w:jc w:val="both"/>
        <w:rPr>
          <w:rFonts w:ascii="Arial" w:hAnsi="Arial" w:cs="Arial"/>
        </w:rPr>
      </w:pPr>
    </w:p>
    <w:p w14:paraId="0E80C09F" w14:textId="77777777" w:rsidR="00FE34C9" w:rsidRDefault="00FE34C9" w:rsidP="00EB4996">
      <w:pPr>
        <w:jc w:val="both"/>
        <w:rPr>
          <w:rFonts w:ascii="Arial" w:hAnsi="Arial" w:cs="Arial"/>
        </w:rPr>
      </w:pPr>
    </w:p>
    <w:p w14:paraId="7C6A4450" w14:textId="77777777" w:rsidR="00FE34C9" w:rsidRPr="00EB4996" w:rsidRDefault="00FE34C9" w:rsidP="00EB4996">
      <w:pPr>
        <w:jc w:val="both"/>
        <w:rPr>
          <w:rFonts w:ascii="Arial" w:hAnsi="Arial" w:cs="Arial"/>
        </w:rPr>
      </w:pPr>
    </w:p>
    <w:sectPr w:rsidR="00FE34C9" w:rsidRPr="00EB4996">
      <w:headerReference w:type="default" r:id="rId9"/>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D886" w14:textId="77777777" w:rsidR="00A43F59" w:rsidRDefault="00A43F59" w:rsidP="00102FD5">
      <w:r>
        <w:separator/>
      </w:r>
    </w:p>
  </w:endnote>
  <w:endnote w:type="continuationSeparator" w:id="0">
    <w:p w14:paraId="4E7FBB42" w14:textId="77777777" w:rsidR="00A43F59" w:rsidRDefault="00A43F59" w:rsidP="0010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33CF" w14:textId="77777777" w:rsidR="00A43F59" w:rsidRDefault="00A43F59" w:rsidP="00102FD5">
      <w:r>
        <w:separator/>
      </w:r>
    </w:p>
  </w:footnote>
  <w:footnote w:type="continuationSeparator" w:id="0">
    <w:p w14:paraId="1D7732A7" w14:textId="77777777" w:rsidR="00A43F59" w:rsidRDefault="00A43F59" w:rsidP="0010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BB" w14:textId="1B1745A7" w:rsidR="00102FD5" w:rsidRPr="00102FD5" w:rsidRDefault="0007502D">
    <w:pPr>
      <w:pStyle w:val="Header"/>
      <w:rPr>
        <w:rFonts w:ascii="Arial" w:hAnsi="Arial" w:cs="Arial"/>
      </w:rPr>
    </w:pPr>
    <w:r w:rsidRPr="0007502D">
      <w:rPr>
        <w:rFonts w:ascii="Arial" w:hAnsi="Arial" w:cs="Arial"/>
        <w:noProof/>
      </w:rPr>
      <mc:AlternateContent>
        <mc:Choice Requires="wps">
          <w:drawing>
            <wp:anchor distT="0" distB="0" distL="118745" distR="118745" simplePos="0" relativeHeight="251659264" behindDoc="1" locked="0" layoutInCell="1" allowOverlap="0" wp14:anchorId="66D7D170" wp14:editId="79F5CEE6">
              <wp:simplePos x="0" y="0"/>
              <wp:positionH relativeFrom="margin">
                <wp:posOffset>-470535</wp:posOffset>
              </wp:positionH>
              <wp:positionV relativeFrom="page">
                <wp:posOffset>480060</wp:posOffset>
              </wp:positionV>
              <wp:extent cx="623316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23316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0990012F" w:rsidR="0007502D" w:rsidRDefault="00924C24">
                              <w:pPr>
                                <w:pStyle w:val="Header"/>
                                <w:jc w:val="center"/>
                                <w:rPr>
                                  <w:caps/>
                                  <w:color w:val="FFFFFF" w:themeColor="background1"/>
                                </w:rPr>
                              </w:pPr>
                              <w:r>
                                <w:rPr>
                                  <w:caps/>
                                  <w:color w:val="FFFFFF" w:themeColor="background1"/>
                                </w:rPr>
                                <w:t>Independent Anti-Slavery Commissioner -  Freedom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6D7D170" id="Rectangle 197" o:spid="_x0000_s1026" style="position:absolute;margin-left:-37.05pt;margin-top:37.8pt;width:490.8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1ECEEF9" w14:textId="0990012F" w:rsidR="0007502D" w:rsidRDefault="00924C24">
                        <w:pPr>
                          <w:pStyle w:val="Header"/>
                          <w:jc w:val="center"/>
                          <w:rPr>
                            <w:caps/>
                            <w:color w:val="FFFFFF" w:themeColor="background1"/>
                          </w:rPr>
                        </w:pPr>
                        <w:r>
                          <w:rPr>
                            <w:caps/>
                            <w:color w:val="FFFFFF" w:themeColor="background1"/>
                          </w:rPr>
                          <w:t>Independent Anti-Slavery Commissioner -  Freedom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36A"/>
    <w:multiLevelType w:val="multilevel"/>
    <w:tmpl w:val="5B868AD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72563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96"/>
    <w:rsid w:val="00050C12"/>
    <w:rsid w:val="000741E2"/>
    <w:rsid w:val="0007502D"/>
    <w:rsid w:val="00102FD5"/>
    <w:rsid w:val="001518BE"/>
    <w:rsid w:val="00154378"/>
    <w:rsid w:val="001B7C2E"/>
    <w:rsid w:val="001D4833"/>
    <w:rsid w:val="00222DA5"/>
    <w:rsid w:val="00386168"/>
    <w:rsid w:val="003E34FF"/>
    <w:rsid w:val="003F5A7C"/>
    <w:rsid w:val="00601585"/>
    <w:rsid w:val="00657035"/>
    <w:rsid w:val="00702316"/>
    <w:rsid w:val="00733BCD"/>
    <w:rsid w:val="007D2A99"/>
    <w:rsid w:val="00864B7B"/>
    <w:rsid w:val="008E3BCD"/>
    <w:rsid w:val="0092132A"/>
    <w:rsid w:val="00924C24"/>
    <w:rsid w:val="00942847"/>
    <w:rsid w:val="009930EA"/>
    <w:rsid w:val="009A638C"/>
    <w:rsid w:val="00A43F59"/>
    <w:rsid w:val="00AE49BD"/>
    <w:rsid w:val="00B81C9C"/>
    <w:rsid w:val="00BD4A3B"/>
    <w:rsid w:val="00DB01AB"/>
    <w:rsid w:val="00E431AF"/>
    <w:rsid w:val="00E624CE"/>
    <w:rsid w:val="00EB4996"/>
    <w:rsid w:val="00F04AE4"/>
    <w:rsid w:val="00F76FB8"/>
    <w:rsid w:val="00FE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2C5A4"/>
  <w15:chartTrackingRefBased/>
  <w15:docId w15:val="{7AB6BB07-6ABE-4912-802C-A31B0885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DA5"/>
    <w:rPr>
      <w:rFonts w:ascii="Segoe UI" w:hAnsi="Segoe UI" w:cs="Segoe UI"/>
      <w:sz w:val="18"/>
      <w:szCs w:val="18"/>
    </w:rPr>
  </w:style>
  <w:style w:type="table" w:styleId="TableGrid">
    <w:name w:val="Table Grid"/>
    <w:basedOn w:val="TableNormal"/>
    <w:uiPriority w:val="39"/>
    <w:rsid w:val="0022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FD5"/>
    <w:pPr>
      <w:tabs>
        <w:tab w:val="center" w:pos="4513"/>
        <w:tab w:val="right" w:pos="9026"/>
      </w:tabs>
    </w:pPr>
  </w:style>
  <w:style w:type="character" w:customStyle="1" w:styleId="HeaderChar">
    <w:name w:val="Header Char"/>
    <w:basedOn w:val="DefaultParagraphFont"/>
    <w:link w:val="Header"/>
    <w:uiPriority w:val="99"/>
    <w:rsid w:val="00102FD5"/>
    <w:rPr>
      <w:rFonts w:ascii="Garamond" w:hAnsi="Garamond"/>
      <w:sz w:val="24"/>
    </w:rPr>
  </w:style>
  <w:style w:type="paragraph" w:styleId="Footer">
    <w:name w:val="footer"/>
    <w:basedOn w:val="Normal"/>
    <w:link w:val="FooterChar"/>
    <w:uiPriority w:val="99"/>
    <w:unhideWhenUsed/>
    <w:rsid w:val="00102FD5"/>
    <w:pPr>
      <w:tabs>
        <w:tab w:val="center" w:pos="4513"/>
        <w:tab w:val="right" w:pos="9026"/>
      </w:tabs>
    </w:pPr>
  </w:style>
  <w:style w:type="character" w:customStyle="1" w:styleId="FooterChar">
    <w:name w:val="Footer Char"/>
    <w:basedOn w:val="DefaultParagraphFont"/>
    <w:link w:val="Footer"/>
    <w:uiPriority w:val="99"/>
    <w:rsid w:val="00102FD5"/>
    <w:rPr>
      <w:rFonts w:ascii="Garamond" w:hAnsi="Garamond"/>
      <w:sz w:val="24"/>
    </w:rPr>
  </w:style>
  <w:style w:type="character" w:styleId="Hyperlink">
    <w:name w:val="Hyperlink"/>
    <w:basedOn w:val="DefaultParagraphFont"/>
    <w:uiPriority w:val="99"/>
    <w:unhideWhenUsed/>
    <w:rsid w:val="001518BE"/>
    <w:rPr>
      <w:color w:val="0563C1" w:themeColor="hyperlink"/>
      <w:u w:val="single"/>
    </w:rPr>
  </w:style>
  <w:style w:type="character" w:styleId="UnresolvedMention">
    <w:name w:val="Unresolved Mention"/>
    <w:basedOn w:val="DefaultParagraphFont"/>
    <w:uiPriority w:val="99"/>
    <w:semiHidden/>
    <w:unhideWhenUsed/>
    <w:rsid w:val="001518BE"/>
    <w:rPr>
      <w:color w:val="605E5C"/>
      <w:shd w:val="clear" w:color="auto" w:fill="E1DFDD"/>
    </w:rPr>
  </w:style>
  <w:style w:type="character" w:styleId="FollowedHyperlink">
    <w:name w:val="FollowedHyperlink"/>
    <w:basedOn w:val="DefaultParagraphFont"/>
    <w:uiPriority w:val="99"/>
    <w:semiHidden/>
    <w:unhideWhenUsed/>
    <w:rsid w:val="00FE34C9"/>
    <w:rPr>
      <w:color w:val="954F72" w:themeColor="followedHyperlink"/>
      <w:u w:val="single"/>
    </w:rPr>
  </w:style>
  <w:style w:type="paragraph" w:styleId="ListParagraph">
    <w:name w:val="List Paragraph"/>
    <w:basedOn w:val="Normal"/>
    <w:uiPriority w:val="34"/>
    <w:qFormat/>
    <w:rsid w:val="00075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42396/CCS207_CCS0919032100-001_Independent_Anti-Slavery_Commissioner_Strategic_Plan_Web_Accessible.pdf" TargetMode="External"/><Relationship Id="rId3" Type="http://schemas.openxmlformats.org/officeDocument/2006/relationships/settings" Target="settings.xml"/><Relationship Id="rId7" Type="http://schemas.openxmlformats.org/officeDocument/2006/relationships/hyperlink" Target="https://www.antislaverycommissioner.co.uk/media/1164/iasc_annual-report-16-17-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Anti-Slavery Commissioner -  Freedom of Information</dc:title>
  <dc:subject/>
  <dc:creator>Bateman Edward (IASC)</dc:creator>
  <cp:keywords/>
  <dc:description/>
  <cp:lastModifiedBy>Ed Bateman</cp:lastModifiedBy>
  <cp:revision>2</cp:revision>
  <dcterms:created xsi:type="dcterms:W3CDTF">2022-04-26T11:19:00Z</dcterms:created>
  <dcterms:modified xsi:type="dcterms:W3CDTF">2022-04-26T11:19:00Z</dcterms:modified>
</cp:coreProperties>
</file>