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DDA4" w14:textId="2F15960D" w:rsidR="00251CE4" w:rsidRDefault="00251CE4" w:rsidP="00C61CB6">
      <w:pPr>
        <w:pStyle w:val="Heading1"/>
      </w:pPr>
      <w:r>
        <w:rPr>
          <w:noProof/>
        </w:rPr>
        <w:drawing>
          <wp:inline distT="0" distB="0" distL="0" distR="0" wp14:anchorId="45F560FB" wp14:editId="71965213">
            <wp:extent cx="2466934" cy="1169813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700" cy="117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FD0F" w14:textId="77777777" w:rsidR="00251CE4" w:rsidRDefault="00251CE4" w:rsidP="00C61CB6">
      <w:pPr>
        <w:pStyle w:val="Heading1"/>
      </w:pPr>
    </w:p>
    <w:p w14:paraId="6FBFF55B" w14:textId="180F5A68" w:rsidR="00C61CB6" w:rsidRDefault="00C61CB6" w:rsidP="00C61CB6">
      <w:pPr>
        <w:pStyle w:val="Heading1"/>
      </w:pPr>
      <w:r>
        <w:t>IASC Publication Scheme</w:t>
      </w:r>
    </w:p>
    <w:p w14:paraId="32348C49" w14:textId="77777777" w:rsidR="00C61CB6" w:rsidRDefault="00C61CB6" w:rsidP="00C61CB6"/>
    <w:p w14:paraId="24F6A503" w14:textId="77777777" w:rsidR="00C61CB6" w:rsidRDefault="00C61CB6" w:rsidP="00C61CB6">
      <w:r>
        <w:t>The publication scheme specifies the categories of information the Independent Anti-Slavery Commissioner (IASC) publishes and how to get that information.</w:t>
      </w:r>
    </w:p>
    <w:p w14:paraId="25252B6C" w14:textId="77777777" w:rsidR="00C61CB6" w:rsidRDefault="00C61CB6" w:rsidP="00C61CB6">
      <w:r>
        <w:t xml:space="preserve">We publish information as outlined in the </w:t>
      </w:r>
      <w:hyperlink r:id="rId8" w:history="1">
        <w:r w:rsidRPr="005A06D4">
          <w:rPr>
            <w:rStyle w:val="Hyperlink"/>
            <w:color w:val="2F5496"/>
            <w:u w:val="none"/>
          </w:rPr>
          <w:t>Information Commissioner’s Office</w:t>
        </w:r>
      </w:hyperlink>
      <w:r>
        <w:t xml:space="preserve"> guidance.</w:t>
      </w:r>
    </w:p>
    <w:p w14:paraId="1DFFA514" w14:textId="77777777" w:rsidR="00C61CB6" w:rsidRDefault="00C61CB6" w:rsidP="00C61CB6">
      <w:r>
        <w:t xml:space="preserve">This publication scheme is not a list of individual publications, but rather a description of the types of information that we are committed to publishing. </w:t>
      </w:r>
    </w:p>
    <w:p w14:paraId="736CB7BF" w14:textId="77777777" w:rsidR="00C61CB6" w:rsidRDefault="00C61CB6" w:rsidP="00C61CB6"/>
    <w:p w14:paraId="2CD1FF2B" w14:textId="77777777" w:rsidR="00C61CB6" w:rsidRDefault="00C61CB6" w:rsidP="00C61CB6">
      <w:pPr>
        <w:pStyle w:val="Heading2"/>
      </w:pPr>
      <w:r>
        <w:t>Contents</w:t>
      </w:r>
    </w:p>
    <w:p w14:paraId="0F36D3F0" w14:textId="77777777" w:rsidR="00C61CB6" w:rsidRPr="00B7656A" w:rsidRDefault="009F5F53" w:rsidP="00C61CB6">
      <w:pPr>
        <w:pStyle w:val="ListParagraph"/>
        <w:numPr>
          <w:ilvl w:val="0"/>
          <w:numId w:val="1"/>
        </w:numPr>
        <w:rPr>
          <w:color w:val="2F5496"/>
        </w:rPr>
      </w:pPr>
      <w:hyperlink w:anchor="_Who_we_are" w:history="1">
        <w:r w:rsidR="00C61CB6" w:rsidRPr="00B7656A">
          <w:rPr>
            <w:rStyle w:val="Hyperlink"/>
            <w:color w:val="2F5496"/>
            <w:u w:val="none"/>
          </w:rPr>
          <w:t>Who we are and what we do</w:t>
        </w:r>
      </w:hyperlink>
    </w:p>
    <w:p w14:paraId="456D6452" w14:textId="77777777" w:rsidR="00C61CB6" w:rsidRPr="00B7656A" w:rsidRDefault="009F5F53" w:rsidP="00C61CB6">
      <w:pPr>
        <w:pStyle w:val="ListParagraph"/>
        <w:numPr>
          <w:ilvl w:val="0"/>
          <w:numId w:val="1"/>
        </w:numPr>
        <w:rPr>
          <w:color w:val="2F5496"/>
        </w:rPr>
      </w:pPr>
      <w:hyperlink w:anchor="_What_we_spend" w:history="1">
        <w:r w:rsidR="00C61CB6" w:rsidRPr="00B7656A">
          <w:rPr>
            <w:rStyle w:val="Hyperlink"/>
            <w:color w:val="2F5496"/>
            <w:u w:val="none"/>
          </w:rPr>
          <w:t>What we spend and how we spend it</w:t>
        </w:r>
      </w:hyperlink>
    </w:p>
    <w:p w14:paraId="10AE783B" w14:textId="77777777" w:rsidR="00C61CB6" w:rsidRPr="00B7656A" w:rsidRDefault="009F5F53" w:rsidP="00C61CB6">
      <w:pPr>
        <w:pStyle w:val="ListParagraph"/>
        <w:numPr>
          <w:ilvl w:val="0"/>
          <w:numId w:val="1"/>
        </w:numPr>
        <w:rPr>
          <w:color w:val="2F5496"/>
        </w:rPr>
      </w:pPr>
      <w:hyperlink w:anchor="_What_our_priorities" w:history="1">
        <w:r w:rsidR="00C61CB6" w:rsidRPr="00B7656A">
          <w:rPr>
            <w:rStyle w:val="Hyperlink"/>
            <w:color w:val="2F5496"/>
            <w:u w:val="none"/>
          </w:rPr>
          <w:t>What are our priorities and how we are doing</w:t>
        </w:r>
      </w:hyperlink>
      <w:r w:rsidR="00C61CB6" w:rsidRPr="00B7656A">
        <w:rPr>
          <w:color w:val="2F5496"/>
        </w:rPr>
        <w:t xml:space="preserve"> </w:t>
      </w:r>
    </w:p>
    <w:p w14:paraId="10472C21" w14:textId="77777777" w:rsidR="00C61CB6" w:rsidRPr="00B7656A" w:rsidRDefault="009F5F53" w:rsidP="00C61CB6">
      <w:pPr>
        <w:pStyle w:val="ListParagraph"/>
        <w:numPr>
          <w:ilvl w:val="0"/>
          <w:numId w:val="1"/>
        </w:numPr>
        <w:rPr>
          <w:color w:val="2F5496"/>
        </w:rPr>
      </w:pPr>
      <w:hyperlink w:anchor="_Our_policies_and" w:history="1">
        <w:r w:rsidR="00C61CB6" w:rsidRPr="00B7656A">
          <w:rPr>
            <w:rStyle w:val="Hyperlink"/>
            <w:color w:val="2F5496"/>
            <w:u w:val="none"/>
          </w:rPr>
          <w:t>Our policies and procedures</w:t>
        </w:r>
      </w:hyperlink>
    </w:p>
    <w:p w14:paraId="1574A66A" w14:textId="77777777" w:rsidR="00C61CB6" w:rsidRPr="00B7656A" w:rsidRDefault="009F5F53" w:rsidP="00C61CB6">
      <w:pPr>
        <w:pStyle w:val="ListParagraph"/>
        <w:numPr>
          <w:ilvl w:val="0"/>
          <w:numId w:val="1"/>
        </w:numPr>
        <w:rPr>
          <w:color w:val="2F5496"/>
        </w:rPr>
      </w:pPr>
      <w:hyperlink w:anchor="_Public_profile,_media" w:history="1">
        <w:r w:rsidR="00390CEE" w:rsidRPr="00B7656A">
          <w:rPr>
            <w:rStyle w:val="Hyperlink"/>
            <w:color w:val="2F5496"/>
            <w:u w:val="none"/>
          </w:rPr>
          <w:t>Public profile, media</w:t>
        </w:r>
        <w:r w:rsidR="006768B0" w:rsidRPr="00B7656A">
          <w:rPr>
            <w:rStyle w:val="Hyperlink"/>
            <w:color w:val="2F5496"/>
            <w:u w:val="none"/>
          </w:rPr>
          <w:t xml:space="preserve"> </w:t>
        </w:r>
        <w:r w:rsidR="008868FF" w:rsidRPr="00B7656A">
          <w:rPr>
            <w:rStyle w:val="Hyperlink"/>
            <w:color w:val="2F5496"/>
            <w:u w:val="none"/>
          </w:rPr>
          <w:t>and resources</w:t>
        </w:r>
      </w:hyperlink>
    </w:p>
    <w:p w14:paraId="3720DB5E" w14:textId="77777777" w:rsidR="00C61CB6" w:rsidRPr="00B7656A" w:rsidRDefault="009F5F53" w:rsidP="00C61CB6">
      <w:pPr>
        <w:pStyle w:val="ListParagraph"/>
        <w:numPr>
          <w:ilvl w:val="0"/>
          <w:numId w:val="1"/>
        </w:numPr>
        <w:rPr>
          <w:color w:val="2F5496"/>
        </w:rPr>
      </w:pPr>
      <w:hyperlink w:anchor="_Other_information" w:history="1">
        <w:r w:rsidR="00604C4B" w:rsidRPr="00B7656A">
          <w:rPr>
            <w:rStyle w:val="Hyperlink"/>
            <w:color w:val="2F5496"/>
            <w:u w:val="none"/>
          </w:rPr>
          <w:t>Other information</w:t>
        </w:r>
      </w:hyperlink>
      <w:r w:rsidR="00604C4B" w:rsidRPr="00B7656A">
        <w:rPr>
          <w:color w:val="2F5496"/>
        </w:rPr>
        <w:t xml:space="preserve"> </w:t>
      </w:r>
    </w:p>
    <w:p w14:paraId="028C7B18" w14:textId="77777777" w:rsidR="00C61CB6" w:rsidRDefault="00C61CB6" w:rsidP="002B2376"/>
    <w:p w14:paraId="625B084E" w14:textId="77777777" w:rsidR="00461138" w:rsidRDefault="00461138" w:rsidP="00461138">
      <w:pPr>
        <w:pStyle w:val="Heading2"/>
      </w:pPr>
      <w:bookmarkStart w:id="0" w:name="_Who_we_are"/>
      <w:bookmarkEnd w:id="0"/>
      <w:r>
        <w:t>Who we are and what we do</w:t>
      </w:r>
    </w:p>
    <w:p w14:paraId="595A8834" w14:textId="77777777" w:rsidR="0042655A" w:rsidRPr="0042655A" w:rsidRDefault="0042655A" w:rsidP="0042655A">
      <w:r w:rsidRPr="0042655A">
        <w:t xml:space="preserve">Details of our organisational information, </w:t>
      </w:r>
      <w:r w:rsidR="007006C6">
        <w:t>contact details</w:t>
      </w:r>
      <w:r w:rsidR="00686ECD">
        <w:t xml:space="preserve"> and relationships with external organisations.</w:t>
      </w:r>
    </w:p>
    <w:p w14:paraId="01282B01" w14:textId="77777777" w:rsidR="00461138" w:rsidRPr="00B7656A" w:rsidRDefault="009F5F53" w:rsidP="00461138">
      <w:pPr>
        <w:spacing w:after="0" w:line="240" w:lineRule="auto"/>
        <w:rPr>
          <w:color w:val="2F5496"/>
        </w:rPr>
      </w:pPr>
      <w:hyperlink r:id="rId9" w:history="1">
        <w:r w:rsidR="00461138" w:rsidRPr="00B7656A">
          <w:rPr>
            <w:rStyle w:val="Hyperlink"/>
            <w:color w:val="2F5496"/>
            <w:u w:val="none"/>
          </w:rPr>
          <w:t>About the Commissioner’s Office</w:t>
        </w:r>
      </w:hyperlink>
    </w:p>
    <w:p w14:paraId="7D067F5B" w14:textId="77777777" w:rsidR="00461138" w:rsidRPr="00B7656A" w:rsidRDefault="009F5F53" w:rsidP="00461138">
      <w:pPr>
        <w:spacing w:after="0" w:line="240" w:lineRule="auto"/>
        <w:rPr>
          <w:color w:val="2F5496"/>
        </w:rPr>
      </w:pPr>
      <w:hyperlink r:id="rId10" w:history="1">
        <w:r w:rsidR="00461138" w:rsidRPr="00B7656A">
          <w:rPr>
            <w:rStyle w:val="Hyperlink"/>
            <w:color w:val="2F5496"/>
            <w:u w:val="none"/>
          </w:rPr>
          <w:t>The Independent Anti-Slavery Commissioner</w:t>
        </w:r>
      </w:hyperlink>
    </w:p>
    <w:p w14:paraId="7D50B686" w14:textId="77777777" w:rsidR="00461138" w:rsidRPr="00B7656A" w:rsidRDefault="009F5F53" w:rsidP="00461138">
      <w:pPr>
        <w:spacing w:after="0"/>
        <w:rPr>
          <w:color w:val="2F5496"/>
        </w:rPr>
      </w:pPr>
      <w:hyperlink r:id="rId11" w:history="1">
        <w:r w:rsidR="00461138" w:rsidRPr="00B7656A">
          <w:rPr>
            <w:rStyle w:val="Hyperlink"/>
            <w:color w:val="2F5496"/>
            <w:u w:val="none"/>
          </w:rPr>
          <w:t>The Commissioner’s Team</w:t>
        </w:r>
      </w:hyperlink>
    </w:p>
    <w:p w14:paraId="23975D79" w14:textId="77777777" w:rsidR="00461138" w:rsidRPr="00B7656A" w:rsidRDefault="009F5F53" w:rsidP="00461138">
      <w:pPr>
        <w:spacing w:after="0"/>
        <w:rPr>
          <w:color w:val="2F5496"/>
        </w:rPr>
      </w:pPr>
      <w:hyperlink r:id="rId12" w:history="1">
        <w:r w:rsidR="00461138" w:rsidRPr="00B7656A">
          <w:rPr>
            <w:rStyle w:val="Hyperlink"/>
            <w:color w:val="2F5496"/>
            <w:u w:val="none"/>
          </w:rPr>
          <w:t>Memorandum of Understanding with the Home Office</w:t>
        </w:r>
      </w:hyperlink>
    </w:p>
    <w:p w14:paraId="00E9A541" w14:textId="77777777" w:rsidR="008868FF" w:rsidRPr="00B7656A" w:rsidRDefault="009F5F53" w:rsidP="008868FF">
      <w:pPr>
        <w:spacing w:after="0"/>
        <w:rPr>
          <w:color w:val="2F5496"/>
        </w:rPr>
      </w:pPr>
      <w:hyperlink r:id="rId13" w:history="1">
        <w:r w:rsidR="00FC6A62" w:rsidRPr="00602F4A">
          <w:rPr>
            <w:rStyle w:val="Hyperlink"/>
            <w:color w:val="2F5496"/>
            <w:u w:val="none"/>
          </w:rPr>
          <w:t>Data Sharing Protocol between the Independent Anti-Slavery Commissioner and the Home Office</w:t>
        </w:r>
      </w:hyperlink>
      <w:r w:rsidR="00FC6A62">
        <w:rPr>
          <w:color w:val="2F5496"/>
        </w:rPr>
        <w:t xml:space="preserve"> </w:t>
      </w:r>
    </w:p>
    <w:p w14:paraId="1E756E3B" w14:textId="77777777" w:rsidR="008868FF" w:rsidRPr="00B7656A" w:rsidRDefault="009F5F53" w:rsidP="008868FF">
      <w:pPr>
        <w:spacing w:after="0"/>
        <w:rPr>
          <w:color w:val="2F5496"/>
        </w:rPr>
      </w:pPr>
      <w:hyperlink r:id="rId14" w:history="1">
        <w:r w:rsidR="008868FF" w:rsidRPr="00B7656A">
          <w:rPr>
            <w:rStyle w:val="Hyperlink"/>
            <w:color w:val="2F5496"/>
            <w:u w:val="none"/>
          </w:rPr>
          <w:t>Contact details and location</w:t>
        </w:r>
      </w:hyperlink>
    </w:p>
    <w:p w14:paraId="1A128915" w14:textId="77777777" w:rsidR="00C047A2" w:rsidRPr="00B7656A" w:rsidRDefault="009F5F53" w:rsidP="00461138">
      <w:pPr>
        <w:spacing w:after="0"/>
        <w:rPr>
          <w:color w:val="2F5496"/>
        </w:rPr>
      </w:pPr>
      <w:hyperlink r:id="rId15" w:history="1">
        <w:r w:rsidR="00C047A2" w:rsidRPr="00B7656A">
          <w:rPr>
            <w:rStyle w:val="Hyperlink"/>
            <w:color w:val="2F5496"/>
            <w:u w:val="none"/>
          </w:rPr>
          <w:t>Job vacancies</w:t>
        </w:r>
      </w:hyperlink>
      <w:r w:rsidR="00C047A2" w:rsidRPr="00B7656A">
        <w:rPr>
          <w:color w:val="2F5496"/>
        </w:rPr>
        <w:t xml:space="preserve"> </w:t>
      </w:r>
    </w:p>
    <w:p w14:paraId="542199B8" w14:textId="77777777" w:rsidR="00C047A2" w:rsidRPr="00B7656A" w:rsidRDefault="009F5F53" w:rsidP="00461138">
      <w:pPr>
        <w:spacing w:after="0"/>
        <w:rPr>
          <w:color w:val="2F5496"/>
        </w:rPr>
      </w:pPr>
      <w:hyperlink r:id="rId16" w:history="1">
        <w:r w:rsidR="0042655A" w:rsidRPr="00B7656A">
          <w:rPr>
            <w:rStyle w:val="Hyperlink"/>
            <w:color w:val="2F5496"/>
            <w:u w:val="none"/>
          </w:rPr>
          <w:t>Frequently asked questions</w:t>
        </w:r>
      </w:hyperlink>
    </w:p>
    <w:p w14:paraId="28131B0C" w14:textId="77777777" w:rsidR="00461138" w:rsidRDefault="00461138" w:rsidP="002B2376">
      <w:pPr>
        <w:pStyle w:val="Heading2"/>
        <w:spacing w:before="0" w:after="160"/>
      </w:pPr>
    </w:p>
    <w:p w14:paraId="00016C70" w14:textId="77777777" w:rsidR="00461138" w:rsidRDefault="00461138" w:rsidP="00461138">
      <w:pPr>
        <w:pStyle w:val="Heading2"/>
      </w:pPr>
      <w:bookmarkStart w:id="1" w:name="_What_we_spend"/>
      <w:bookmarkEnd w:id="1"/>
      <w:r>
        <w:t>What we spend and how we spend it</w:t>
      </w:r>
    </w:p>
    <w:p w14:paraId="51A9A654" w14:textId="77777777" w:rsidR="00C047A2" w:rsidRPr="00C047A2" w:rsidRDefault="00C047A2" w:rsidP="00C047A2">
      <w:r>
        <w:t>IASC financial information</w:t>
      </w:r>
      <w:r w:rsidR="006D456A">
        <w:t xml:space="preserve"> relating to gifts and hospitality, and expenses.</w:t>
      </w:r>
    </w:p>
    <w:p w14:paraId="745ED3B5" w14:textId="77777777" w:rsidR="00686ECD" w:rsidRPr="00B7656A" w:rsidRDefault="009F5F53" w:rsidP="002B2376">
      <w:hyperlink r:id="rId17" w:history="1">
        <w:r w:rsidR="00686ECD" w:rsidRPr="00B7656A">
          <w:rPr>
            <w:rStyle w:val="Hyperlink"/>
            <w:color w:val="2F5496"/>
            <w:u w:val="none"/>
          </w:rPr>
          <w:t>Gifts and hospitality</w:t>
        </w:r>
      </w:hyperlink>
      <w:r w:rsidR="00686ECD" w:rsidRPr="00B7656A">
        <w:rPr>
          <w:color w:val="2F5496"/>
        </w:rPr>
        <w:t xml:space="preserve"> </w:t>
      </w:r>
      <w:r w:rsidR="00686ECD" w:rsidRPr="00B7656A">
        <w:rPr>
          <w:color w:val="2F5496"/>
        </w:rPr>
        <w:br/>
      </w:r>
      <w:hyperlink r:id="rId18" w:history="1">
        <w:r w:rsidR="0042655A" w:rsidRPr="00B7656A">
          <w:rPr>
            <w:rStyle w:val="Hyperlink"/>
            <w:color w:val="2F5496"/>
            <w:u w:val="none"/>
          </w:rPr>
          <w:t>Expenses</w:t>
        </w:r>
        <w:r w:rsidR="00C047A2" w:rsidRPr="00B7656A">
          <w:rPr>
            <w:rStyle w:val="Hyperlink"/>
            <w:color w:val="2F5496"/>
            <w:u w:val="none"/>
          </w:rPr>
          <w:t xml:space="preserve"> incurred by senior personnel</w:t>
        </w:r>
      </w:hyperlink>
      <w:bookmarkStart w:id="2" w:name="_What_our_priorities"/>
      <w:bookmarkEnd w:id="2"/>
      <w:r w:rsidR="00686ECD" w:rsidRPr="00B7656A">
        <w:br/>
      </w:r>
    </w:p>
    <w:p w14:paraId="74ECC3BB" w14:textId="77777777" w:rsidR="0042655A" w:rsidRDefault="00C047A2" w:rsidP="00C047A2">
      <w:pPr>
        <w:pStyle w:val="Heading2"/>
      </w:pPr>
      <w:r>
        <w:t>What our priorities are and how we are doing</w:t>
      </w:r>
    </w:p>
    <w:p w14:paraId="3A1DDC3D" w14:textId="7B9237AD" w:rsidR="00C047A2" w:rsidRPr="00C047A2" w:rsidRDefault="00686ECD" w:rsidP="00C047A2">
      <w:r>
        <w:t xml:space="preserve">Information on </w:t>
      </w:r>
      <w:r w:rsidR="0004017E">
        <w:t>recent</w:t>
      </w:r>
      <w:r w:rsidR="006D456A">
        <w:t xml:space="preserve"> work and scrutiny</w:t>
      </w:r>
      <w:r>
        <w:t xml:space="preserve"> of the Independent Anti-Slavery Commissioner.</w:t>
      </w:r>
    </w:p>
    <w:p w14:paraId="045CED8A" w14:textId="07AB63C4" w:rsidR="00C047A2" w:rsidRPr="00B7656A" w:rsidRDefault="009F5F53" w:rsidP="00C047A2">
      <w:pPr>
        <w:rPr>
          <w:color w:val="2F5496"/>
        </w:rPr>
      </w:pPr>
      <w:hyperlink r:id="rId19" w:history="1">
        <w:r w:rsidR="0004017E" w:rsidRPr="0004017E">
          <w:rPr>
            <w:rStyle w:val="Hyperlink"/>
            <w:u w:val="none"/>
          </w:rPr>
          <w:t>IASC Annual Report 2021-2022</w:t>
        </w:r>
      </w:hyperlink>
      <w:r w:rsidR="00C047A2" w:rsidRPr="00B7656A">
        <w:rPr>
          <w:color w:val="2F5496"/>
        </w:rPr>
        <w:t xml:space="preserve"> </w:t>
      </w:r>
      <w:r w:rsidR="008868FF" w:rsidRPr="00B7656A">
        <w:rPr>
          <w:color w:val="2F5496"/>
        </w:rPr>
        <w:br/>
      </w:r>
      <w:hyperlink r:id="rId20" w:history="1">
        <w:r w:rsidR="008868FF" w:rsidRPr="00B7656A">
          <w:rPr>
            <w:rStyle w:val="Hyperlink"/>
            <w:color w:val="2F5496"/>
            <w:u w:val="none"/>
          </w:rPr>
          <w:t>News and insights</w:t>
        </w:r>
      </w:hyperlink>
    </w:p>
    <w:p w14:paraId="7C118CBD" w14:textId="77777777" w:rsidR="00686ECD" w:rsidRDefault="00686ECD" w:rsidP="002B2376"/>
    <w:p w14:paraId="4851250C" w14:textId="77777777" w:rsidR="00C047A2" w:rsidRDefault="00C047A2" w:rsidP="00C047A2">
      <w:pPr>
        <w:pStyle w:val="Heading2"/>
      </w:pPr>
      <w:bookmarkStart w:id="3" w:name="_Our_policies_and"/>
      <w:bookmarkEnd w:id="3"/>
      <w:r>
        <w:t xml:space="preserve">Our policies and procedures </w:t>
      </w:r>
    </w:p>
    <w:p w14:paraId="6C0716E5" w14:textId="77777777" w:rsidR="00C047A2" w:rsidRDefault="00C047A2" w:rsidP="00C047A2">
      <w:r>
        <w:t>Current written protocols, policies and procedures.</w:t>
      </w:r>
    </w:p>
    <w:p w14:paraId="670651B7" w14:textId="165BEF8A" w:rsidR="00602F4A" w:rsidRDefault="009F5F53" w:rsidP="00602F4A">
      <w:pPr>
        <w:spacing w:after="0" w:line="240" w:lineRule="auto"/>
        <w:rPr>
          <w:color w:val="2F5496"/>
        </w:rPr>
      </w:pPr>
      <w:hyperlink r:id="rId21" w:history="1">
        <w:r w:rsidR="00C047A2" w:rsidRPr="00B7656A">
          <w:rPr>
            <w:rStyle w:val="Hyperlink"/>
            <w:color w:val="2F5496"/>
            <w:u w:val="none"/>
          </w:rPr>
          <w:t>Complaints procedure</w:t>
        </w:r>
      </w:hyperlink>
      <w:r w:rsidR="00C047A2" w:rsidRPr="00B7656A">
        <w:rPr>
          <w:color w:val="2F5496"/>
        </w:rPr>
        <w:br/>
      </w:r>
      <w:hyperlink r:id="rId22" w:history="1">
        <w:r w:rsidR="00686ECD" w:rsidRPr="00B7656A">
          <w:rPr>
            <w:rStyle w:val="Hyperlink"/>
            <w:color w:val="2F5496"/>
            <w:u w:val="none"/>
          </w:rPr>
          <w:t>General Data Protection Regulation and Data Protection Officer</w:t>
        </w:r>
      </w:hyperlink>
      <w:r w:rsidR="00686ECD" w:rsidRPr="00B7656A">
        <w:rPr>
          <w:color w:val="2F5496"/>
        </w:rPr>
        <w:br/>
      </w:r>
      <w:hyperlink r:id="rId23" w:history="1">
        <w:r w:rsidR="00FC6A62" w:rsidRPr="00FC6A62">
          <w:rPr>
            <w:rStyle w:val="Hyperlink"/>
            <w:color w:val="2F5496"/>
            <w:u w:val="none"/>
          </w:rPr>
          <w:t>What we publish on our Resources Page</w:t>
        </w:r>
      </w:hyperlink>
      <w:r w:rsidR="00FC6A62">
        <w:rPr>
          <w:color w:val="2F5496"/>
        </w:rPr>
        <w:br/>
      </w:r>
      <w:r w:rsidR="00602F4A">
        <w:rPr>
          <w:color w:val="2F5496"/>
        </w:rPr>
        <w:t xml:space="preserve">Research requests to the Office of the Independent Anti-Slavery Commissioner </w:t>
      </w:r>
      <w:r w:rsidR="008B178C">
        <w:rPr>
          <w:color w:val="2F5496"/>
        </w:rPr>
        <w:t>–</w:t>
      </w:r>
      <w:r w:rsidR="00602F4A">
        <w:rPr>
          <w:color w:val="2F5496"/>
        </w:rPr>
        <w:t xml:space="preserve"> </w:t>
      </w:r>
      <w:r w:rsidR="00EA428B">
        <w:rPr>
          <w:color w:val="2F5496"/>
        </w:rPr>
        <w:t>p</w:t>
      </w:r>
      <w:r w:rsidR="008B178C">
        <w:rPr>
          <w:color w:val="2F5496"/>
        </w:rPr>
        <w:t>ortal temporarily closed</w:t>
      </w:r>
    </w:p>
    <w:p w14:paraId="724E0686" w14:textId="77777777" w:rsidR="001A4DC6" w:rsidRDefault="001A4DC6" w:rsidP="002B2376"/>
    <w:p w14:paraId="365D3ACA" w14:textId="77777777" w:rsidR="00686ECD" w:rsidRDefault="006768B0" w:rsidP="006D456A">
      <w:pPr>
        <w:pStyle w:val="Heading2"/>
      </w:pPr>
      <w:bookmarkStart w:id="4" w:name="_Public_profile"/>
      <w:bookmarkStart w:id="5" w:name="_Public_profile_and"/>
      <w:bookmarkStart w:id="6" w:name="_Public_profile,_media"/>
      <w:bookmarkEnd w:id="4"/>
      <w:bookmarkEnd w:id="5"/>
      <w:bookmarkEnd w:id="6"/>
      <w:r>
        <w:t>Public profile</w:t>
      </w:r>
      <w:r w:rsidR="00390CEE">
        <w:t xml:space="preserve">, </w:t>
      </w:r>
      <w:proofErr w:type="gramStart"/>
      <w:r w:rsidR="00390CEE">
        <w:t>media</w:t>
      </w:r>
      <w:proofErr w:type="gramEnd"/>
      <w:r w:rsidR="008868FF">
        <w:t xml:space="preserve"> and resources</w:t>
      </w:r>
    </w:p>
    <w:p w14:paraId="31A537D1" w14:textId="77777777" w:rsidR="00D23975" w:rsidRPr="00D23975" w:rsidRDefault="00573AB1" w:rsidP="00D23975">
      <w:r>
        <w:t>News, blogs, publications and resources hosted on our website.</w:t>
      </w:r>
    </w:p>
    <w:p w14:paraId="2A5B1E00" w14:textId="77777777" w:rsidR="006D456A" w:rsidRPr="00B7656A" w:rsidRDefault="009F5F53" w:rsidP="002B2376">
      <w:hyperlink r:id="rId24" w:history="1">
        <w:r w:rsidR="006D456A" w:rsidRPr="00B7656A">
          <w:rPr>
            <w:rStyle w:val="Hyperlink"/>
            <w:color w:val="2F5496"/>
            <w:u w:val="none"/>
          </w:rPr>
          <w:t>News and insights</w:t>
        </w:r>
      </w:hyperlink>
      <w:r w:rsidR="006D456A" w:rsidRPr="00B7656A">
        <w:rPr>
          <w:color w:val="2F5496"/>
        </w:rPr>
        <w:br/>
      </w:r>
      <w:hyperlink r:id="rId25" w:history="1">
        <w:r w:rsidR="006D456A" w:rsidRPr="00B7656A">
          <w:rPr>
            <w:rStyle w:val="Hyperlink"/>
            <w:color w:val="2F5496"/>
            <w:u w:val="none"/>
          </w:rPr>
          <w:t>Resources</w:t>
        </w:r>
      </w:hyperlink>
      <w:r w:rsidR="00577583">
        <w:rPr>
          <w:rStyle w:val="Hyperlink"/>
          <w:color w:val="2F5496"/>
          <w:u w:val="none"/>
        </w:rPr>
        <w:br/>
      </w:r>
      <w:hyperlink r:id="rId26" w:history="1">
        <w:r w:rsidR="00577583" w:rsidRPr="00577583">
          <w:rPr>
            <w:rStyle w:val="Hyperlink"/>
            <w:color w:val="2F5496"/>
            <w:u w:val="none"/>
          </w:rPr>
          <w:t>Letters</w:t>
        </w:r>
      </w:hyperlink>
      <w:r w:rsidR="00CE68DA" w:rsidRPr="00B7656A">
        <w:rPr>
          <w:color w:val="2F5496"/>
        </w:rPr>
        <w:br/>
      </w:r>
      <w:hyperlink r:id="rId27" w:history="1">
        <w:r w:rsidR="00CE68DA" w:rsidRPr="00024F46">
          <w:rPr>
            <w:rStyle w:val="Hyperlink"/>
            <w:color w:val="2F5496"/>
            <w:u w:val="none"/>
          </w:rPr>
          <w:t>Media requests</w:t>
        </w:r>
      </w:hyperlink>
      <w:r w:rsidR="006D456A" w:rsidRPr="00B7656A">
        <w:br/>
      </w:r>
    </w:p>
    <w:p w14:paraId="049AAE03" w14:textId="77777777" w:rsidR="00686ECD" w:rsidRDefault="00686ECD" w:rsidP="00686ECD">
      <w:pPr>
        <w:pStyle w:val="Heading2"/>
      </w:pPr>
      <w:bookmarkStart w:id="7" w:name="_Other_information"/>
      <w:bookmarkEnd w:id="7"/>
      <w:r>
        <w:t>Other information</w:t>
      </w:r>
    </w:p>
    <w:p w14:paraId="3D124B8F" w14:textId="77777777" w:rsidR="006768B0" w:rsidRPr="001A34F3" w:rsidRDefault="009F5F53" w:rsidP="002B2376">
      <w:hyperlink r:id="rId28" w:history="1">
        <w:r w:rsidR="006768B0" w:rsidRPr="001A34F3">
          <w:rPr>
            <w:rStyle w:val="Hyperlink"/>
            <w:color w:val="2F5496"/>
            <w:u w:val="none"/>
          </w:rPr>
          <w:t xml:space="preserve">Reporting </w:t>
        </w:r>
        <w:r w:rsidR="00306795" w:rsidRPr="001A34F3">
          <w:rPr>
            <w:rStyle w:val="Hyperlink"/>
            <w:color w:val="2F5496"/>
            <w:u w:val="none"/>
          </w:rPr>
          <w:t xml:space="preserve">concerns over potential </w:t>
        </w:r>
        <w:r w:rsidR="006768B0" w:rsidRPr="001A34F3">
          <w:rPr>
            <w:rStyle w:val="Hyperlink"/>
            <w:color w:val="2F5496"/>
            <w:u w:val="none"/>
          </w:rPr>
          <w:t>modern slavery</w:t>
        </w:r>
      </w:hyperlink>
      <w:r w:rsidR="006768B0" w:rsidRPr="001A34F3">
        <w:rPr>
          <w:color w:val="2F5496"/>
        </w:rPr>
        <w:br/>
      </w:r>
      <w:hyperlink r:id="rId29" w:history="1">
        <w:r w:rsidR="006768B0" w:rsidRPr="001A34F3">
          <w:rPr>
            <w:rStyle w:val="Hyperlink"/>
            <w:color w:val="2F5496"/>
            <w:u w:val="none"/>
          </w:rPr>
          <w:t>What is meant by the Commissioner’s independence</w:t>
        </w:r>
      </w:hyperlink>
      <w:r w:rsidR="006768B0" w:rsidRPr="001A34F3">
        <w:rPr>
          <w:color w:val="2F5496"/>
        </w:rPr>
        <w:br/>
      </w:r>
      <w:hyperlink r:id="rId30" w:history="1">
        <w:r w:rsidR="006768B0" w:rsidRPr="001A34F3">
          <w:rPr>
            <w:rStyle w:val="Hyperlink"/>
            <w:color w:val="2F5496"/>
            <w:u w:val="none"/>
          </w:rPr>
          <w:t>Reporting requirements under Section 54 of the Modern Slavery Act</w:t>
        </w:r>
      </w:hyperlink>
      <w:r w:rsidR="006768B0" w:rsidRPr="001A34F3">
        <w:rPr>
          <w:color w:val="2F5496"/>
        </w:rPr>
        <w:br/>
      </w:r>
      <w:hyperlink r:id="rId31" w:history="1">
        <w:r w:rsidR="006768B0" w:rsidRPr="001A34F3">
          <w:rPr>
            <w:rStyle w:val="Hyperlink"/>
            <w:color w:val="2F5496"/>
            <w:u w:val="none"/>
          </w:rPr>
          <w:t>The National Referral Mechanism</w:t>
        </w:r>
      </w:hyperlink>
      <w:r w:rsidR="006768B0" w:rsidRPr="001A34F3">
        <w:rPr>
          <w:color w:val="2F5496"/>
        </w:rPr>
        <w:br/>
      </w:r>
      <w:hyperlink r:id="rId32" w:history="1">
        <w:r w:rsidR="006768B0" w:rsidRPr="001A34F3">
          <w:rPr>
            <w:rStyle w:val="Hyperlink"/>
            <w:color w:val="2F5496"/>
            <w:u w:val="none"/>
          </w:rPr>
          <w:t>Policy on use of the IASC logo</w:t>
        </w:r>
      </w:hyperlink>
      <w:r w:rsidR="006768B0" w:rsidRPr="001A34F3">
        <w:br/>
      </w:r>
    </w:p>
    <w:p w14:paraId="01E975B5" w14:textId="77777777" w:rsidR="00F45FE9" w:rsidRPr="00686ECD" w:rsidRDefault="00686ECD" w:rsidP="00C047A2">
      <w:pPr>
        <w:rPr>
          <w:i/>
        </w:rPr>
      </w:pPr>
      <w:r w:rsidRPr="002B2376">
        <w:rPr>
          <w:b/>
          <w:i/>
        </w:rPr>
        <w:t>Note:</w:t>
      </w:r>
      <w:r>
        <w:rPr>
          <w:i/>
        </w:rPr>
        <w:t xml:space="preserve"> The Independent Anti-Slavery Commissioner is an independent monitoring body of the Home Office.</w:t>
      </w:r>
      <w:r w:rsidR="00772AAD">
        <w:rPr>
          <w:i/>
        </w:rPr>
        <w:t xml:space="preserve"> The Commissioner’s remit is set out in Part 4 of the </w:t>
      </w:r>
      <w:hyperlink r:id="rId33" w:history="1">
        <w:r w:rsidR="00772AAD" w:rsidRPr="00372913">
          <w:rPr>
            <w:rStyle w:val="Hyperlink"/>
            <w:i/>
            <w:color w:val="2F5496"/>
            <w:u w:val="none"/>
          </w:rPr>
          <w:t>Modern Slavery Act</w:t>
        </w:r>
      </w:hyperlink>
      <w:r w:rsidR="00772AAD" w:rsidRPr="00372913">
        <w:rPr>
          <w:i/>
          <w:color w:val="2F5496"/>
        </w:rPr>
        <w:t xml:space="preserve">. </w:t>
      </w:r>
      <w:r w:rsidR="00772AAD">
        <w:rPr>
          <w:i/>
        </w:rPr>
        <w:t>The Commissioner is precluded from exercising any authority relating to individual cases</w:t>
      </w:r>
      <w:r w:rsidR="00C979AD">
        <w:rPr>
          <w:i/>
        </w:rPr>
        <w:t>. This doe</w:t>
      </w:r>
      <w:r w:rsidR="00C979AD" w:rsidRPr="00C979AD">
        <w:rPr>
          <w:i/>
        </w:rPr>
        <w:t>s not prevent the Commissioner considering individual cases and drawing conclusions about them for the purpose of, or in the context of, considering a general issue.</w:t>
      </w:r>
    </w:p>
    <w:sectPr w:rsidR="00F45FE9" w:rsidRPr="00686ECD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7BED" w14:textId="77777777" w:rsidR="00C61CB6" w:rsidRDefault="00C61CB6" w:rsidP="00C61CB6">
      <w:pPr>
        <w:spacing w:after="0" w:line="240" w:lineRule="auto"/>
      </w:pPr>
      <w:r>
        <w:separator/>
      </w:r>
    </w:p>
  </w:endnote>
  <w:endnote w:type="continuationSeparator" w:id="0">
    <w:p w14:paraId="472C8971" w14:textId="77777777" w:rsidR="00C61CB6" w:rsidRDefault="00C61CB6" w:rsidP="00C6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628A" w14:textId="77777777" w:rsidR="00C61CB6" w:rsidRDefault="00C61CB6" w:rsidP="00C61CB6">
      <w:pPr>
        <w:spacing w:after="0" w:line="240" w:lineRule="auto"/>
      </w:pPr>
      <w:r>
        <w:separator/>
      </w:r>
    </w:p>
  </w:footnote>
  <w:footnote w:type="continuationSeparator" w:id="0">
    <w:p w14:paraId="71915651" w14:textId="77777777" w:rsidR="00C61CB6" w:rsidRDefault="00C61CB6" w:rsidP="00C6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37C2" w14:textId="10BF9C54" w:rsidR="00C61CB6" w:rsidRDefault="00C61CB6">
    <w:pPr>
      <w:pStyle w:val="Header"/>
    </w:pPr>
    <w:r>
      <w:t>Independent Anti-Slavery Commissioner</w:t>
    </w:r>
    <w:r w:rsidR="0004017E">
      <w:t xml:space="preserve">’s Office </w:t>
    </w:r>
    <w:r w:rsidR="0004017E">
      <w:tab/>
    </w:r>
    <w:r>
      <w:tab/>
    </w:r>
    <w:r w:rsidR="0017638C">
      <w:t>Last updated</w:t>
    </w:r>
    <w:r>
      <w:t xml:space="preserve"> 202</w:t>
    </w:r>
    <w:r w:rsidR="0004017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379"/>
    <w:multiLevelType w:val="hybridMultilevel"/>
    <w:tmpl w:val="B61A7E60"/>
    <w:lvl w:ilvl="0" w:tplc="083AE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B6"/>
    <w:rsid w:val="00024F46"/>
    <w:rsid w:val="0004017E"/>
    <w:rsid w:val="0017638C"/>
    <w:rsid w:val="001A34F3"/>
    <w:rsid w:val="001A4DC6"/>
    <w:rsid w:val="00201920"/>
    <w:rsid w:val="00251CE4"/>
    <w:rsid w:val="002B2376"/>
    <w:rsid w:val="00306795"/>
    <w:rsid w:val="00351FA6"/>
    <w:rsid w:val="00372913"/>
    <w:rsid w:val="00390CEE"/>
    <w:rsid w:val="0042655A"/>
    <w:rsid w:val="00461138"/>
    <w:rsid w:val="0050549A"/>
    <w:rsid w:val="00573AB1"/>
    <w:rsid w:val="00577583"/>
    <w:rsid w:val="00593B4E"/>
    <w:rsid w:val="005A06D4"/>
    <w:rsid w:val="00602F4A"/>
    <w:rsid w:val="00604C4B"/>
    <w:rsid w:val="006768B0"/>
    <w:rsid w:val="00686ECD"/>
    <w:rsid w:val="006D456A"/>
    <w:rsid w:val="007006C6"/>
    <w:rsid w:val="00772AAD"/>
    <w:rsid w:val="008868FF"/>
    <w:rsid w:val="008B178C"/>
    <w:rsid w:val="009F5F53"/>
    <w:rsid w:val="00A17C00"/>
    <w:rsid w:val="00A94410"/>
    <w:rsid w:val="00B7656A"/>
    <w:rsid w:val="00C047A2"/>
    <w:rsid w:val="00C61CB6"/>
    <w:rsid w:val="00C979AD"/>
    <w:rsid w:val="00CE68DA"/>
    <w:rsid w:val="00D23975"/>
    <w:rsid w:val="00D7509E"/>
    <w:rsid w:val="00E02798"/>
    <w:rsid w:val="00EA428B"/>
    <w:rsid w:val="00F45FE9"/>
    <w:rsid w:val="00F8695A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F567"/>
  <w15:chartTrackingRefBased/>
  <w15:docId w15:val="{7AB961DC-8B10-4717-A095-0EDF18B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B6"/>
  </w:style>
  <w:style w:type="paragraph" w:styleId="Footer">
    <w:name w:val="footer"/>
    <w:basedOn w:val="Normal"/>
    <w:link w:val="FooterChar"/>
    <w:uiPriority w:val="99"/>
    <w:unhideWhenUsed/>
    <w:rsid w:val="00C61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B6"/>
  </w:style>
  <w:style w:type="character" w:customStyle="1" w:styleId="Heading1Char">
    <w:name w:val="Heading 1 Char"/>
    <w:basedOn w:val="DefaultParagraphFont"/>
    <w:link w:val="Heading1"/>
    <w:uiPriority w:val="9"/>
    <w:rsid w:val="00C61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1C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1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1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hyperlink" Target="https://www.antislaverycommissioner.co.uk/media/1420/data-sharing-agreement-for-iasc-and-home-office.pdf" TargetMode="External"/><Relationship Id="rId18" Type="http://schemas.openxmlformats.org/officeDocument/2006/relationships/hyperlink" Target="https://www.antislaverycommissioner.co.uk/publications/" TargetMode="External"/><Relationship Id="rId26" Type="http://schemas.openxmlformats.org/officeDocument/2006/relationships/hyperlink" Target="https://www.antislaverycommissioner.co.uk/public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tislaverycommissioner.co.uk/contact-us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antislaverycommissioner.co.uk/media/1313/memorandum-of-understanding-2019.pdf" TargetMode="External"/><Relationship Id="rId17" Type="http://schemas.openxmlformats.org/officeDocument/2006/relationships/hyperlink" Target="mailto:https://www.antislaverycommissioner.co.uk/publications/" TargetMode="External"/><Relationship Id="rId25" Type="http://schemas.openxmlformats.org/officeDocument/2006/relationships/hyperlink" Target="https://www.antislaverycommissioner.co.uk/resources/" TargetMode="External"/><Relationship Id="rId33" Type="http://schemas.openxmlformats.org/officeDocument/2006/relationships/hyperlink" Target="http://www.legislation.gov.uk/ukpga/2015/30/contents/enac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slaverycommissioner.co.uk/frequently-asked-questions/" TargetMode="External"/><Relationship Id="rId20" Type="http://schemas.openxmlformats.org/officeDocument/2006/relationships/hyperlink" Target="https://www.antislaverycommissioner.co.uk/news-insights/" TargetMode="External"/><Relationship Id="rId29" Type="http://schemas.openxmlformats.org/officeDocument/2006/relationships/hyperlink" Target="https://www.antislaverycommissioner.co.uk/frequently-asked-ques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slaverycommissioner.co.uk/about-the-commissioners-office/the-commissioners-team/" TargetMode="External"/><Relationship Id="rId24" Type="http://schemas.openxmlformats.org/officeDocument/2006/relationships/hyperlink" Target="https://www.antislaverycommissioner.co.uk/news-insights/" TargetMode="External"/><Relationship Id="rId32" Type="http://schemas.openxmlformats.org/officeDocument/2006/relationships/hyperlink" Target="https://www.antislaverycommissioner.co.uk/frequently-asked-ques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tislaverycommissioner.co.uk/jobs/" TargetMode="External"/><Relationship Id="rId23" Type="http://schemas.openxmlformats.org/officeDocument/2006/relationships/hyperlink" Target="https://www.antislaverycommissioner.co.uk/resources/" TargetMode="External"/><Relationship Id="rId28" Type="http://schemas.openxmlformats.org/officeDocument/2006/relationships/hyperlink" Target="https://www.antislaverycommissioner.co.uk/frequently-asked-question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ntislaverycommissioner.co.uk/about-the-commissioners-office/the-independent-anti-slavery-commissioner/" TargetMode="External"/><Relationship Id="rId19" Type="http://schemas.openxmlformats.org/officeDocument/2006/relationships/hyperlink" Target="https://www.antislaverycommissioner.co.uk/media/1796/iasc-annual-report-2021-2022.pdf" TargetMode="External"/><Relationship Id="rId31" Type="http://schemas.openxmlformats.org/officeDocument/2006/relationships/hyperlink" Target="https://www.antislaverycommissioner.co.uk/frequently-asked-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slaverycommissioner.co.uk/about-the-commissioners-office/" TargetMode="External"/><Relationship Id="rId14" Type="http://schemas.openxmlformats.org/officeDocument/2006/relationships/hyperlink" Target="https://www.antislaverycommissioner.co.uk/contact-us/" TargetMode="External"/><Relationship Id="rId22" Type="http://schemas.openxmlformats.org/officeDocument/2006/relationships/hyperlink" Target="https://www.antislaverycommissioner.co.uk/contact-us/" TargetMode="External"/><Relationship Id="rId27" Type="http://schemas.openxmlformats.org/officeDocument/2006/relationships/hyperlink" Target="https://www.antislaverycommissioner.co.uk/contact-us/" TargetMode="External"/><Relationship Id="rId30" Type="http://schemas.openxmlformats.org/officeDocument/2006/relationships/hyperlink" Target="https://www.antislaverycommissioner.co.uk/frequently-asked-question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Katherine (IASC)</dc:creator>
  <cp:keywords/>
  <dc:description/>
  <cp:lastModifiedBy>Jessica Roberts</cp:lastModifiedBy>
  <cp:revision>2</cp:revision>
  <dcterms:created xsi:type="dcterms:W3CDTF">2022-08-01T14:13:00Z</dcterms:created>
  <dcterms:modified xsi:type="dcterms:W3CDTF">2022-08-01T14:13:00Z</dcterms:modified>
</cp:coreProperties>
</file>